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60C1" w14:textId="77777777" w:rsidR="003131E7" w:rsidRPr="003131E7" w:rsidRDefault="003131E7" w:rsidP="003131E7">
      <w:pPr>
        <w:jc w:val="center"/>
        <w:rPr>
          <w:rFonts w:ascii="Georgia" w:hAnsi="Georgia"/>
          <w:b/>
          <w:bCs/>
          <w:caps/>
          <w:sz w:val="20"/>
          <w:szCs w:val="20"/>
          <w:lang w:val="fr-FR"/>
        </w:rPr>
      </w:pPr>
      <w:bookmarkStart w:id="0" w:name="_Toc85811602"/>
      <w:bookmarkStart w:id="1" w:name="_Toc88841135"/>
      <w:bookmarkStart w:id="2" w:name="_Toc133435872"/>
      <w:bookmarkStart w:id="3" w:name="_Toc8159589"/>
      <w:r w:rsidRPr="003131E7">
        <w:rPr>
          <w:rFonts w:ascii="Georgia" w:hAnsi="Georgia"/>
          <w:b/>
          <w:bCs/>
          <w:caps/>
          <w:sz w:val="20"/>
          <w:lang w:val="fr-FR"/>
        </w:rPr>
        <w:t>Advicenne</w:t>
      </w:r>
    </w:p>
    <w:p w14:paraId="149CA56E" w14:textId="77777777" w:rsidR="003131E7" w:rsidRPr="003131E7" w:rsidRDefault="003131E7" w:rsidP="003131E7">
      <w:pPr>
        <w:jc w:val="center"/>
        <w:rPr>
          <w:rFonts w:ascii="Georgia" w:hAnsi="Georgia"/>
          <w:b/>
          <w:bCs/>
          <w:smallCaps/>
          <w:sz w:val="20"/>
          <w:lang w:val="fr-FR"/>
        </w:rPr>
      </w:pPr>
    </w:p>
    <w:p w14:paraId="58833437" w14:textId="77777777" w:rsidR="003131E7" w:rsidRPr="003131E7" w:rsidRDefault="003131E7" w:rsidP="003131E7">
      <w:pPr>
        <w:jc w:val="center"/>
        <w:rPr>
          <w:rFonts w:ascii="Georgia" w:hAnsi="Georgia"/>
          <w:sz w:val="20"/>
          <w:lang w:val="fr-FR"/>
        </w:rPr>
      </w:pPr>
      <w:r w:rsidRPr="003131E7">
        <w:rPr>
          <w:rFonts w:ascii="Georgia" w:hAnsi="Georgia"/>
          <w:sz w:val="20"/>
          <w:lang w:val="fr-FR"/>
        </w:rPr>
        <w:t>Société anonyme au capital de 2.464.734,20 euros</w:t>
      </w:r>
    </w:p>
    <w:p w14:paraId="3C771838" w14:textId="77777777" w:rsidR="003131E7" w:rsidRPr="003131E7" w:rsidRDefault="003131E7" w:rsidP="003131E7">
      <w:pPr>
        <w:jc w:val="center"/>
        <w:rPr>
          <w:rFonts w:ascii="Georgia" w:hAnsi="Georgia"/>
          <w:sz w:val="20"/>
          <w:lang w:val="fr-FR"/>
        </w:rPr>
      </w:pPr>
      <w:r w:rsidRPr="003131E7">
        <w:rPr>
          <w:rFonts w:ascii="Georgia" w:hAnsi="Georgia"/>
          <w:sz w:val="20"/>
          <w:lang w:val="fr-FR"/>
        </w:rPr>
        <w:t>Siège social : 262 rue du Faubourg Saint-Honoré, 75008 Paris</w:t>
      </w:r>
    </w:p>
    <w:p w14:paraId="3FE8E7F2" w14:textId="77777777" w:rsidR="003131E7" w:rsidRPr="003131E7" w:rsidRDefault="003131E7" w:rsidP="003131E7">
      <w:pPr>
        <w:jc w:val="center"/>
        <w:rPr>
          <w:rFonts w:ascii="Georgia" w:eastAsia="DFKai-SB" w:hAnsi="Georgia"/>
          <w:color w:val="000000"/>
          <w:sz w:val="20"/>
          <w:lang w:val="fr-FR"/>
        </w:rPr>
      </w:pPr>
      <w:r w:rsidRPr="003131E7">
        <w:rPr>
          <w:rFonts w:ascii="Georgia" w:hAnsi="Georgia"/>
          <w:sz w:val="20"/>
          <w:lang w:val="fr-FR"/>
        </w:rPr>
        <w:t>497 587 089 R.C.S.</w:t>
      </w:r>
      <w:r w:rsidRPr="003131E7">
        <w:rPr>
          <w:rFonts w:ascii="Georgia" w:eastAsia="DFKai-SB" w:hAnsi="Georgia"/>
          <w:color w:val="000000"/>
          <w:sz w:val="20"/>
          <w:lang w:val="fr-FR"/>
        </w:rPr>
        <w:t xml:space="preserve"> Paris</w:t>
      </w:r>
    </w:p>
    <w:p w14:paraId="65171351" w14:textId="77777777" w:rsidR="003131E7" w:rsidRPr="003131E7" w:rsidRDefault="003131E7" w:rsidP="003131E7">
      <w:pPr>
        <w:jc w:val="center"/>
        <w:rPr>
          <w:rFonts w:ascii="Georgia" w:eastAsia="DFKai-SB" w:hAnsi="Georgia"/>
          <w:color w:val="000000"/>
          <w:sz w:val="20"/>
          <w:lang w:val="fr-FR"/>
        </w:rPr>
      </w:pPr>
      <w:bookmarkStart w:id="4" w:name="_DV_M329"/>
      <w:bookmarkStart w:id="5" w:name="_DV_M278"/>
      <w:bookmarkStart w:id="6" w:name="_DV_M214"/>
      <w:bookmarkStart w:id="7" w:name="_Toc22937965"/>
      <w:bookmarkStart w:id="8" w:name="_Toc22937966"/>
      <w:bookmarkStart w:id="9" w:name="_Toc22937967"/>
      <w:bookmarkStart w:id="10" w:name="_Toc101790861"/>
      <w:bookmarkStart w:id="11" w:name="_Toc101790862"/>
      <w:bookmarkStart w:id="12" w:name="_DV_M927"/>
      <w:bookmarkStart w:id="13" w:name="_DV_M928"/>
      <w:bookmarkStart w:id="14" w:name="_Toc101790900"/>
      <w:bookmarkStart w:id="15" w:name="_Toc101790901"/>
      <w:bookmarkStart w:id="16" w:name="_DV_M875"/>
      <w:bookmarkStart w:id="17" w:name="_DV_M888"/>
      <w:bookmarkStart w:id="18" w:name="_DV_M889"/>
      <w:bookmarkStart w:id="19" w:name="_DV_M890"/>
      <w:bookmarkStart w:id="20" w:name="_DV_M891"/>
      <w:bookmarkStart w:id="21" w:name="_DV_M878"/>
      <w:bookmarkStart w:id="22" w:name="_DV_M879"/>
      <w:bookmarkStart w:id="23" w:name="_DV_M880"/>
      <w:bookmarkStart w:id="24" w:name="_DV_M881"/>
      <w:bookmarkStart w:id="25" w:name="_DV_M882"/>
      <w:bookmarkStart w:id="26" w:name="_DV_M883"/>
      <w:bookmarkStart w:id="27" w:name="_DV_M884"/>
      <w:bookmarkStart w:id="28" w:name="_DV_M886"/>
      <w:bookmarkStart w:id="29" w:name="_DV_M887"/>
      <w:bookmarkStart w:id="30" w:name="_DV_M892"/>
      <w:bookmarkStart w:id="31" w:name="_DV_M894"/>
      <w:bookmarkStart w:id="32" w:name="_DV_M895"/>
      <w:bookmarkStart w:id="33" w:name="_DV_M896"/>
      <w:bookmarkStart w:id="34" w:name="_DV_M897"/>
      <w:bookmarkStart w:id="35" w:name="_Toc494717218"/>
      <w:bookmarkStart w:id="36" w:name="_Toc494717504"/>
      <w:bookmarkStart w:id="37" w:name="_Toc494717791"/>
      <w:bookmarkStart w:id="38" w:name="_Toc494740310"/>
      <w:bookmarkStart w:id="39" w:name="_Toc494740620"/>
      <w:bookmarkStart w:id="40" w:name="_Toc494740937"/>
      <w:bookmarkStart w:id="41" w:name="_Toc494741255"/>
      <w:bookmarkStart w:id="42" w:name="_DV_M900"/>
      <w:bookmarkStart w:id="43" w:name="_DV_M901"/>
      <w:bookmarkStart w:id="44" w:name="_DV_M902"/>
      <w:bookmarkStart w:id="45" w:name="_DV_M903"/>
      <w:bookmarkStart w:id="46" w:name="_DV_M904"/>
      <w:bookmarkStart w:id="47" w:name="_DV_M905"/>
      <w:bookmarkStart w:id="48" w:name="_Toc22938050"/>
      <w:bookmarkStart w:id="49" w:name="_Toc22938051"/>
      <w:bookmarkStart w:id="50" w:name="_Toc22938053"/>
      <w:bookmarkStart w:id="51" w:name="_Toc22938054"/>
      <w:bookmarkStart w:id="52" w:name="_Toc22938055"/>
      <w:bookmarkStart w:id="53" w:name="_Toc22938056"/>
      <w:bookmarkStart w:id="54" w:name="_Toc22938057"/>
      <w:bookmarkStart w:id="55" w:name="_Toc22938058"/>
      <w:bookmarkStart w:id="56" w:name="_Toc22938059"/>
      <w:bookmarkStart w:id="57" w:name="_Toc22938060"/>
      <w:bookmarkStart w:id="58" w:name="_Toc22938061"/>
      <w:bookmarkStart w:id="59" w:name="_Toc22938062"/>
      <w:bookmarkStart w:id="60" w:name="_Toc22938063"/>
      <w:bookmarkStart w:id="61" w:name="_Toc22938064"/>
      <w:bookmarkStart w:id="62" w:name="_Toc22938065"/>
      <w:bookmarkStart w:id="63" w:name="_Toc22938066"/>
      <w:bookmarkStart w:id="64" w:name="_Toc22938067"/>
      <w:bookmarkStart w:id="65" w:name="_Toc22938068"/>
      <w:bookmarkStart w:id="66" w:name="_Toc22938069"/>
      <w:bookmarkStart w:id="67" w:name="_Toc101790966"/>
      <w:bookmarkStart w:id="68" w:name="_Toc22938077"/>
      <w:bookmarkStart w:id="69" w:name="_Toc22938081"/>
      <w:bookmarkStart w:id="70" w:name="_Toc22938082"/>
      <w:bookmarkStart w:id="71" w:name="_Toc22938083"/>
      <w:bookmarkStart w:id="72" w:name="_Toc101790982"/>
      <w:bookmarkStart w:id="73" w:name="_Toc101790985"/>
      <w:bookmarkStart w:id="74" w:name="_Toc101790994"/>
      <w:bookmarkStart w:id="75" w:name="_Toc101790995"/>
      <w:bookmarkStart w:id="76" w:name="_Toc101790999"/>
      <w:bookmarkStart w:id="77" w:name="_Toc101791000"/>
      <w:bookmarkStart w:id="78" w:name="_Toc101791001"/>
      <w:bookmarkStart w:id="79" w:name="_Toc101791007"/>
      <w:bookmarkStart w:id="80" w:name="_Toc101791065"/>
      <w:bookmarkStart w:id="81" w:name="_Toc101791066"/>
      <w:bookmarkStart w:id="82" w:name="_Toc101791067"/>
      <w:bookmarkStart w:id="83" w:name="_Toc101791068"/>
      <w:bookmarkStart w:id="84" w:name="_Toc101791069"/>
      <w:bookmarkStart w:id="85" w:name="_Toc101791070"/>
      <w:bookmarkStart w:id="86" w:name="_Toc101791071"/>
      <w:bookmarkStart w:id="87" w:name="_Toc101791072"/>
      <w:bookmarkStart w:id="88" w:name="_Toc101791073"/>
      <w:bookmarkStart w:id="89" w:name="_Toc101791074"/>
      <w:bookmarkStart w:id="90" w:name="_Toc101791075"/>
      <w:bookmarkStart w:id="91" w:name="_Toc101791076"/>
      <w:bookmarkStart w:id="92" w:name="_Toc101791077"/>
      <w:bookmarkStart w:id="93" w:name="_Toc101791078"/>
      <w:bookmarkStart w:id="94" w:name="_Toc101791079"/>
      <w:bookmarkStart w:id="95" w:name="_Toc101791080"/>
      <w:bookmarkStart w:id="96" w:name="_Toc101791081"/>
      <w:bookmarkStart w:id="97" w:name="_Toc101791082"/>
      <w:bookmarkStart w:id="98" w:name="_Toc101791083"/>
      <w:bookmarkStart w:id="99" w:name="_Toc101791084"/>
      <w:bookmarkStart w:id="100" w:name="_Toc101791085"/>
      <w:bookmarkStart w:id="101" w:name="_Toc101791086"/>
      <w:bookmarkStart w:id="102" w:name="_Toc101791087"/>
      <w:bookmarkStart w:id="103" w:name="_Toc101791088"/>
      <w:bookmarkStart w:id="104" w:name="_Toc101791089"/>
      <w:bookmarkStart w:id="105" w:name="_Toc101791090"/>
      <w:bookmarkStart w:id="106" w:name="_Toc101791091"/>
      <w:bookmarkStart w:id="107" w:name="_Toc101791092"/>
      <w:bookmarkStart w:id="108" w:name="_Toc101791093"/>
      <w:bookmarkStart w:id="109" w:name="_Toc101791094"/>
      <w:bookmarkStart w:id="110" w:name="_Toc101791095"/>
      <w:bookmarkStart w:id="111" w:name="_Toc101791096"/>
      <w:bookmarkStart w:id="112" w:name="_Toc101791097"/>
      <w:bookmarkStart w:id="113" w:name="_Toc101791098"/>
      <w:bookmarkStart w:id="114" w:name="_Toc101791099"/>
      <w:bookmarkStart w:id="115" w:name="_Toc101791100"/>
      <w:bookmarkStart w:id="116" w:name="_Toc101791101"/>
      <w:bookmarkStart w:id="117" w:name="_Toc101791102"/>
      <w:bookmarkStart w:id="118" w:name="_Toc101791103"/>
      <w:bookmarkStart w:id="119" w:name="_Toc101791104"/>
      <w:bookmarkStart w:id="120" w:name="_Toc101791105"/>
      <w:bookmarkStart w:id="121" w:name="_Toc101791106"/>
      <w:bookmarkStart w:id="122" w:name="_Toc101791107"/>
      <w:bookmarkStart w:id="123" w:name="_Toc101791108"/>
      <w:bookmarkStart w:id="124" w:name="_Toc101791109"/>
      <w:bookmarkStart w:id="125" w:name="_Toc101791110"/>
      <w:bookmarkStart w:id="126" w:name="_Toc101791111"/>
      <w:bookmarkStart w:id="127" w:name="_Toc101791112"/>
      <w:bookmarkStart w:id="128" w:name="_Toc101791113"/>
      <w:bookmarkStart w:id="129" w:name="_Toc101791114"/>
      <w:bookmarkStart w:id="130" w:name="_Toc101791115"/>
      <w:bookmarkStart w:id="131" w:name="_Toc101791116"/>
      <w:bookmarkStart w:id="132" w:name="_Toc101791117"/>
      <w:bookmarkStart w:id="133" w:name="_Toc101791118"/>
      <w:bookmarkStart w:id="134" w:name="_Toc101791119"/>
      <w:bookmarkStart w:id="135" w:name="_Toc101791120"/>
      <w:bookmarkStart w:id="136" w:name="_Toc101791121"/>
      <w:bookmarkStart w:id="137" w:name="_Toc101791122"/>
      <w:bookmarkStart w:id="138" w:name="_Toc101791123"/>
      <w:bookmarkStart w:id="139" w:name="_Toc101791124"/>
      <w:bookmarkStart w:id="140" w:name="_Toc101791125"/>
      <w:bookmarkStart w:id="141" w:name="_Toc101791126"/>
      <w:bookmarkStart w:id="142" w:name="_Toc101791127"/>
      <w:bookmarkStart w:id="143" w:name="_Toc101791128"/>
      <w:bookmarkStart w:id="144" w:name="_Toc101791129"/>
      <w:bookmarkStart w:id="145" w:name="_Toc101791130"/>
      <w:bookmarkStart w:id="146" w:name="_Toc101791131"/>
      <w:bookmarkStart w:id="147" w:name="_Toc101791132"/>
      <w:bookmarkStart w:id="148" w:name="_Toc101791133"/>
      <w:bookmarkStart w:id="149" w:name="_Toc101791134"/>
      <w:bookmarkStart w:id="150" w:name="_Toc101791135"/>
      <w:bookmarkStart w:id="151" w:name="_Toc101791136"/>
      <w:bookmarkStart w:id="152" w:name="_Toc101791137"/>
      <w:bookmarkStart w:id="153" w:name="_Toc101791138"/>
      <w:bookmarkStart w:id="154" w:name="_Toc101791139"/>
      <w:bookmarkStart w:id="155" w:name="_Toc101791140"/>
      <w:bookmarkStart w:id="156" w:name="_Toc101791141"/>
      <w:bookmarkStart w:id="157" w:name="_Toc101791142"/>
      <w:bookmarkStart w:id="158" w:name="_Toc101791143"/>
      <w:bookmarkStart w:id="159" w:name="_Toc101791144"/>
      <w:bookmarkStart w:id="160" w:name="_Toc101791145"/>
      <w:bookmarkStart w:id="161" w:name="_Toc101791146"/>
      <w:bookmarkStart w:id="162" w:name="_Toc101791147"/>
      <w:bookmarkStart w:id="163" w:name="_Toc101791148"/>
      <w:bookmarkStart w:id="164" w:name="_Toc101791149"/>
      <w:bookmarkStart w:id="165" w:name="_Toc101791150"/>
      <w:bookmarkStart w:id="166" w:name="_Toc101791151"/>
      <w:bookmarkStart w:id="167" w:name="_Toc101791152"/>
      <w:bookmarkStart w:id="168" w:name="_Toc101791153"/>
      <w:bookmarkStart w:id="169" w:name="_Toc101791154"/>
      <w:bookmarkStart w:id="170" w:name="_Toc101791155"/>
      <w:bookmarkStart w:id="171" w:name="_Toc101791156"/>
      <w:bookmarkStart w:id="172" w:name="_Toc101791157"/>
      <w:bookmarkStart w:id="173" w:name="_Toc101791158"/>
      <w:bookmarkStart w:id="174" w:name="_Toc101791159"/>
      <w:bookmarkStart w:id="175" w:name="_Toc101791160"/>
      <w:bookmarkStart w:id="176" w:name="_Toc101791161"/>
      <w:bookmarkStart w:id="177" w:name="_Toc101791162"/>
      <w:bookmarkStart w:id="178" w:name="_Toc101791163"/>
      <w:bookmarkStart w:id="179" w:name="_Toc101791164"/>
      <w:bookmarkStart w:id="180" w:name="_Toc101791165"/>
      <w:bookmarkStart w:id="181" w:name="_Toc101791166"/>
      <w:bookmarkStart w:id="182" w:name="_Toc101791167"/>
      <w:bookmarkStart w:id="183" w:name="_Toc101791168"/>
      <w:bookmarkStart w:id="184" w:name="_Toc101791169"/>
      <w:bookmarkStart w:id="185" w:name="_Toc101791170"/>
      <w:bookmarkStart w:id="186" w:name="_Toc101791171"/>
      <w:bookmarkStart w:id="187" w:name="_Toc101791172"/>
      <w:bookmarkStart w:id="188" w:name="_Toc101791173"/>
      <w:bookmarkStart w:id="189" w:name="_Toc101791174"/>
      <w:bookmarkStart w:id="190" w:name="_Toc101791175"/>
      <w:bookmarkStart w:id="191" w:name="_Toc101791176"/>
      <w:bookmarkStart w:id="192" w:name="_Toc101791177"/>
      <w:bookmarkStart w:id="193" w:name="_Toc101791178"/>
      <w:bookmarkStart w:id="194" w:name="_Toc101791179"/>
      <w:bookmarkStart w:id="195" w:name="_Toc101791180"/>
      <w:bookmarkStart w:id="196" w:name="_Toc101791181"/>
      <w:bookmarkStart w:id="197" w:name="_Toc101791182"/>
      <w:bookmarkStart w:id="198" w:name="_Toc101791183"/>
      <w:bookmarkStart w:id="199" w:name="_Toc101791184"/>
      <w:bookmarkStart w:id="200" w:name="_Toc101791185"/>
      <w:bookmarkStart w:id="201" w:name="_Toc101791186"/>
      <w:bookmarkStart w:id="202" w:name="_Toc101791187"/>
      <w:bookmarkStart w:id="203" w:name="_Toc101791188"/>
      <w:bookmarkStart w:id="204" w:name="_Toc101791189"/>
      <w:bookmarkStart w:id="205" w:name="_Toc101791190"/>
      <w:bookmarkStart w:id="206" w:name="_Toc101791191"/>
      <w:bookmarkStart w:id="207" w:name="_Toc101791192"/>
      <w:bookmarkStart w:id="208" w:name="_Toc101791193"/>
      <w:bookmarkStart w:id="209" w:name="_Toc101791194"/>
      <w:bookmarkStart w:id="210" w:name="_Toc101791195"/>
      <w:bookmarkStart w:id="211" w:name="_Toc101791196"/>
      <w:bookmarkStart w:id="212" w:name="_Toc101791197"/>
      <w:bookmarkStart w:id="213" w:name="_Toc101791198"/>
      <w:bookmarkStart w:id="214" w:name="_Toc101791199"/>
      <w:bookmarkStart w:id="215" w:name="_Toc101791200"/>
      <w:bookmarkStart w:id="216" w:name="_Toc101791201"/>
      <w:bookmarkStart w:id="217" w:name="_Toc101791202"/>
      <w:bookmarkStart w:id="218" w:name="_Toc101791203"/>
      <w:bookmarkStart w:id="219" w:name="_Toc101791204"/>
      <w:bookmarkStart w:id="220" w:name="_Toc101791205"/>
      <w:bookmarkStart w:id="221" w:name="_Toc101791206"/>
      <w:bookmarkStart w:id="222" w:name="_Toc101791207"/>
      <w:bookmarkStart w:id="223" w:name="_Toc101791208"/>
      <w:bookmarkStart w:id="224" w:name="_Toc101791209"/>
      <w:bookmarkStart w:id="225" w:name="_Toc101791210"/>
      <w:bookmarkStart w:id="226" w:name="_Toc101791211"/>
      <w:bookmarkStart w:id="227" w:name="_Toc101791212"/>
      <w:bookmarkStart w:id="228" w:name="_Toc101791213"/>
      <w:bookmarkStart w:id="229" w:name="_Toc101791214"/>
      <w:bookmarkStart w:id="230" w:name="_Toc101791215"/>
      <w:bookmarkStart w:id="231" w:name="_Toc101791216"/>
      <w:bookmarkStart w:id="232" w:name="_Toc101791217"/>
      <w:bookmarkStart w:id="233" w:name="_Toc101791218"/>
      <w:bookmarkStart w:id="234" w:name="_Toc101791219"/>
      <w:bookmarkStart w:id="235" w:name="_Toc101791220"/>
      <w:bookmarkStart w:id="236" w:name="_Toc101791221"/>
      <w:bookmarkStart w:id="237" w:name="_Toc101791222"/>
      <w:bookmarkStart w:id="238" w:name="_Toc101791223"/>
      <w:bookmarkStart w:id="239" w:name="_Toc101791224"/>
      <w:bookmarkStart w:id="240" w:name="_Toc101791225"/>
      <w:bookmarkStart w:id="241" w:name="_Toc101791226"/>
      <w:bookmarkStart w:id="242" w:name="_Toc101791227"/>
      <w:bookmarkStart w:id="243" w:name="_Toc101791228"/>
      <w:bookmarkStart w:id="244" w:name="_Toc101791229"/>
      <w:bookmarkStart w:id="245" w:name="_Toc101791230"/>
      <w:bookmarkStart w:id="246" w:name="_Toc101791231"/>
      <w:bookmarkStart w:id="247" w:name="_Toc101791232"/>
      <w:bookmarkStart w:id="248" w:name="_Toc101791233"/>
      <w:bookmarkStart w:id="249" w:name="_Toc101791234"/>
      <w:bookmarkStart w:id="250" w:name="_Toc101791235"/>
      <w:bookmarkStart w:id="251" w:name="_Toc101791236"/>
      <w:bookmarkStart w:id="252" w:name="_Toc101791237"/>
      <w:bookmarkStart w:id="253" w:name="_Toc101791238"/>
      <w:bookmarkStart w:id="254" w:name="_Toc101791239"/>
      <w:bookmarkStart w:id="255" w:name="_Toc101791240"/>
      <w:bookmarkStart w:id="256" w:name="_Toc101791241"/>
      <w:bookmarkStart w:id="257" w:name="_Toc101791242"/>
      <w:bookmarkStart w:id="258" w:name="_Toc101791243"/>
      <w:bookmarkStart w:id="259" w:name="_Toc101791244"/>
      <w:bookmarkStart w:id="260" w:name="_Toc101791245"/>
      <w:bookmarkStart w:id="261" w:name="_Toc101791246"/>
      <w:bookmarkStart w:id="262" w:name="_Toc101791247"/>
      <w:bookmarkStart w:id="263" w:name="_Toc101791248"/>
      <w:bookmarkStart w:id="264" w:name="_Toc101791249"/>
      <w:bookmarkStart w:id="265" w:name="_Toc101791250"/>
      <w:bookmarkStart w:id="266" w:name="_Toc101791251"/>
      <w:bookmarkStart w:id="267" w:name="_Toc101791252"/>
      <w:bookmarkStart w:id="268" w:name="_Toc101791253"/>
      <w:bookmarkStart w:id="269" w:name="_Toc101791254"/>
      <w:bookmarkStart w:id="270" w:name="_Toc101791255"/>
      <w:bookmarkStart w:id="271" w:name="_Toc101791256"/>
      <w:bookmarkStart w:id="272" w:name="_Toc101791257"/>
      <w:bookmarkStart w:id="273" w:name="_Toc101791258"/>
      <w:bookmarkStart w:id="274" w:name="_Toc101791259"/>
      <w:bookmarkStart w:id="275" w:name="_Toc101791260"/>
      <w:bookmarkStart w:id="276" w:name="_Toc101791261"/>
      <w:bookmarkStart w:id="277" w:name="_Toc101791262"/>
      <w:bookmarkStart w:id="278" w:name="_Toc101791263"/>
      <w:bookmarkStart w:id="279" w:name="_Toc101791264"/>
      <w:bookmarkStart w:id="280" w:name="_Toc101791265"/>
      <w:bookmarkStart w:id="281" w:name="_Toc101791266"/>
      <w:bookmarkStart w:id="282" w:name="_Toc101791267"/>
      <w:bookmarkStart w:id="283" w:name="_Toc101791268"/>
      <w:bookmarkStart w:id="284" w:name="_Toc101791269"/>
      <w:bookmarkStart w:id="285" w:name="_Toc101791270"/>
      <w:bookmarkStart w:id="286" w:name="_Toc101791271"/>
      <w:bookmarkStart w:id="287" w:name="_Toc101791272"/>
      <w:bookmarkStart w:id="288" w:name="_Toc101791273"/>
      <w:bookmarkStart w:id="289" w:name="_Toc101791274"/>
      <w:bookmarkStart w:id="290" w:name="_Toc101791275"/>
      <w:bookmarkStart w:id="291" w:name="_Toc101791276"/>
      <w:bookmarkStart w:id="292" w:name="_Toc101791277"/>
      <w:bookmarkStart w:id="293" w:name="_Toc101791278"/>
      <w:bookmarkStart w:id="294" w:name="_Toc101791279"/>
      <w:bookmarkStart w:id="295" w:name="_Toc101791280"/>
      <w:bookmarkStart w:id="296" w:name="_Toc101791281"/>
      <w:bookmarkStart w:id="297" w:name="_Toc101791282"/>
      <w:bookmarkStart w:id="298" w:name="_Toc101791283"/>
      <w:bookmarkStart w:id="299" w:name="_Toc101791284"/>
      <w:bookmarkStart w:id="300" w:name="_Toc101791285"/>
      <w:bookmarkStart w:id="301" w:name="_Toc101791286"/>
      <w:bookmarkStart w:id="302" w:name="_Toc101791287"/>
      <w:bookmarkStart w:id="303" w:name="_Toc101791288"/>
      <w:bookmarkStart w:id="304" w:name="_Toc101791289"/>
      <w:bookmarkStart w:id="305" w:name="_Toc101791290"/>
      <w:bookmarkStart w:id="306" w:name="_Toc101791291"/>
      <w:bookmarkStart w:id="307" w:name="_Toc101791292"/>
      <w:bookmarkStart w:id="308" w:name="_Toc101791293"/>
      <w:bookmarkStart w:id="309" w:name="_Toc101791294"/>
      <w:bookmarkStart w:id="310" w:name="_Toc101791295"/>
      <w:bookmarkStart w:id="311" w:name="_Toc101791296"/>
      <w:bookmarkStart w:id="312" w:name="_Toc101791297"/>
      <w:bookmarkStart w:id="313" w:name="_Toc101791298"/>
      <w:bookmarkStart w:id="314" w:name="_Toc101791299"/>
      <w:bookmarkStart w:id="315" w:name="_Toc101791300"/>
      <w:bookmarkStart w:id="316" w:name="_Toc101791301"/>
      <w:bookmarkStart w:id="317" w:name="_Toc101791302"/>
      <w:bookmarkStart w:id="318" w:name="_Toc101791303"/>
      <w:bookmarkStart w:id="319" w:name="_Toc101791304"/>
      <w:bookmarkStart w:id="320" w:name="_Toc101791305"/>
      <w:bookmarkStart w:id="321" w:name="_Toc101791306"/>
      <w:bookmarkStart w:id="322" w:name="_Toc101791307"/>
      <w:bookmarkStart w:id="323" w:name="_Toc101791308"/>
      <w:bookmarkStart w:id="324" w:name="_Toc101791309"/>
      <w:bookmarkStart w:id="325" w:name="_Toc101791310"/>
      <w:bookmarkStart w:id="326" w:name="_Toc101791311"/>
      <w:bookmarkStart w:id="327" w:name="_Toc101791312"/>
      <w:bookmarkStart w:id="328" w:name="_Toc101791313"/>
      <w:bookmarkStart w:id="329" w:name="_Toc101791314"/>
      <w:bookmarkStart w:id="330" w:name="_Toc101791315"/>
      <w:bookmarkStart w:id="331" w:name="_Toc101791316"/>
      <w:bookmarkStart w:id="332" w:name="_Toc101791317"/>
      <w:bookmarkStart w:id="333" w:name="_Toc101791318"/>
      <w:bookmarkStart w:id="334" w:name="_Toc101791319"/>
      <w:bookmarkStart w:id="335" w:name="_Toc101791320"/>
      <w:bookmarkStart w:id="336" w:name="_Toc101791321"/>
      <w:bookmarkStart w:id="337" w:name="_Toc101791322"/>
      <w:bookmarkStart w:id="338" w:name="_Toc101791323"/>
      <w:bookmarkStart w:id="339" w:name="_Toc101791324"/>
      <w:bookmarkStart w:id="340" w:name="_Toc101791325"/>
      <w:bookmarkStart w:id="341" w:name="_Toc101791326"/>
      <w:bookmarkStart w:id="342" w:name="_Toc101791327"/>
      <w:bookmarkStart w:id="343" w:name="_Toc101791328"/>
      <w:bookmarkStart w:id="344" w:name="_Toc101791329"/>
      <w:bookmarkStart w:id="345" w:name="_Toc101791330"/>
      <w:bookmarkStart w:id="346" w:name="_Toc101791331"/>
      <w:bookmarkStart w:id="347" w:name="_Toc101791332"/>
      <w:bookmarkStart w:id="348" w:name="_Toc101791333"/>
      <w:bookmarkStart w:id="349" w:name="_Toc101791334"/>
      <w:bookmarkStart w:id="350" w:name="_Toc101791335"/>
      <w:bookmarkStart w:id="351" w:name="_Toc101791336"/>
      <w:bookmarkStart w:id="352" w:name="_Toc101791337"/>
      <w:bookmarkStart w:id="353" w:name="_Toc101791338"/>
      <w:bookmarkStart w:id="354" w:name="_Toc101791339"/>
      <w:bookmarkStart w:id="355" w:name="_Toc101791340"/>
      <w:bookmarkStart w:id="356" w:name="_Toc101791341"/>
      <w:bookmarkStart w:id="357" w:name="_Toc101791342"/>
      <w:bookmarkStart w:id="358" w:name="_Toc101791343"/>
      <w:bookmarkStart w:id="359" w:name="_Toc101791344"/>
      <w:bookmarkStart w:id="360" w:name="_Toc101791345"/>
      <w:bookmarkStart w:id="361" w:name="_Toc101791346"/>
      <w:bookmarkStart w:id="362" w:name="_Toc101791347"/>
      <w:bookmarkStart w:id="363" w:name="_Toc101791348"/>
      <w:bookmarkStart w:id="364" w:name="_Toc101791349"/>
      <w:bookmarkStart w:id="365" w:name="_Toc101791350"/>
      <w:bookmarkStart w:id="366" w:name="_Toc101791351"/>
      <w:bookmarkStart w:id="367" w:name="_Toc101791352"/>
      <w:bookmarkStart w:id="368" w:name="_Toc101791353"/>
      <w:bookmarkStart w:id="369" w:name="_Toc101791354"/>
      <w:bookmarkStart w:id="370" w:name="_Toc101791355"/>
      <w:bookmarkStart w:id="371" w:name="_Toc101791356"/>
      <w:bookmarkStart w:id="372" w:name="_Toc101791357"/>
      <w:bookmarkStart w:id="373" w:name="_Toc101791358"/>
      <w:bookmarkStart w:id="374" w:name="_Toc101791359"/>
      <w:bookmarkStart w:id="375" w:name="_Toc101791360"/>
      <w:bookmarkStart w:id="376" w:name="_Toc101791361"/>
      <w:bookmarkStart w:id="377" w:name="_Toc101791362"/>
      <w:bookmarkStart w:id="378" w:name="_Toc101791363"/>
      <w:bookmarkStart w:id="379" w:name="_Toc101791364"/>
      <w:bookmarkStart w:id="380" w:name="_Toc101791365"/>
      <w:bookmarkStart w:id="381" w:name="_Toc101791366"/>
      <w:bookmarkStart w:id="382" w:name="_Toc101791367"/>
      <w:bookmarkStart w:id="383" w:name="_Toc101791368"/>
      <w:bookmarkStart w:id="384" w:name="_Toc101791369"/>
      <w:bookmarkStart w:id="385" w:name="_Toc101791370"/>
      <w:bookmarkStart w:id="386" w:name="_Toc101791371"/>
      <w:bookmarkStart w:id="387" w:name="_Toc101791372"/>
      <w:bookmarkStart w:id="388" w:name="_Toc101791373"/>
      <w:bookmarkStart w:id="389" w:name="_Toc101791374"/>
      <w:bookmarkStart w:id="390" w:name="_Toc101791375"/>
      <w:bookmarkStart w:id="391" w:name="_Toc101791376"/>
      <w:bookmarkStart w:id="392" w:name="_Toc101791377"/>
      <w:bookmarkStart w:id="393" w:name="_Toc101791378"/>
      <w:bookmarkStart w:id="394" w:name="_Toc101791379"/>
      <w:bookmarkStart w:id="395" w:name="_Toc101791380"/>
      <w:bookmarkStart w:id="396" w:name="_Toc101791381"/>
      <w:bookmarkStart w:id="397" w:name="_Toc101791382"/>
      <w:bookmarkStart w:id="398" w:name="_Toc101791383"/>
      <w:bookmarkStart w:id="399" w:name="_Toc101791384"/>
      <w:bookmarkStart w:id="400" w:name="_Toc101791385"/>
      <w:bookmarkStart w:id="401" w:name="_Toc101791386"/>
      <w:bookmarkStart w:id="402" w:name="_Toc101791387"/>
      <w:bookmarkStart w:id="403" w:name="_Toc101791388"/>
      <w:bookmarkStart w:id="404" w:name="_Toc101791389"/>
      <w:bookmarkStart w:id="405" w:name="_Toc101791390"/>
      <w:bookmarkStart w:id="406" w:name="_Toc101791391"/>
      <w:bookmarkStart w:id="407" w:name="_Toc101791392"/>
      <w:bookmarkStart w:id="408" w:name="_Toc101791393"/>
      <w:bookmarkStart w:id="409" w:name="_Toc101791394"/>
      <w:bookmarkStart w:id="410" w:name="_Toc101791395"/>
      <w:bookmarkStart w:id="411" w:name="_Toc101791396"/>
      <w:bookmarkStart w:id="412" w:name="_Toc101791397"/>
      <w:bookmarkStart w:id="413" w:name="_Toc101791398"/>
      <w:bookmarkStart w:id="414" w:name="_Toc101791399"/>
      <w:bookmarkStart w:id="415" w:name="_Toc101791400"/>
      <w:bookmarkStart w:id="416" w:name="_Toc101791401"/>
      <w:bookmarkStart w:id="417" w:name="_Toc101791402"/>
      <w:bookmarkStart w:id="418" w:name="_Toc101791403"/>
      <w:bookmarkStart w:id="419" w:name="_Toc101791404"/>
      <w:bookmarkStart w:id="420" w:name="_Toc101791405"/>
      <w:bookmarkStart w:id="421" w:name="_Toc101791406"/>
      <w:bookmarkStart w:id="422" w:name="_Toc101791407"/>
      <w:bookmarkStart w:id="423" w:name="_Toc101791408"/>
      <w:bookmarkStart w:id="424" w:name="_Toc101791409"/>
      <w:bookmarkStart w:id="425" w:name="_Toc101791410"/>
      <w:bookmarkStart w:id="426" w:name="_Toc101791411"/>
      <w:bookmarkStart w:id="427" w:name="_Toc101791412"/>
      <w:bookmarkStart w:id="428" w:name="_Toc101791413"/>
      <w:bookmarkStart w:id="429" w:name="_Toc101791414"/>
      <w:bookmarkStart w:id="430" w:name="_Toc101791415"/>
      <w:bookmarkStart w:id="431" w:name="_Toc101791416"/>
      <w:bookmarkStart w:id="432" w:name="_Toc101791417"/>
      <w:bookmarkStart w:id="433" w:name="_Toc101791418"/>
      <w:bookmarkStart w:id="434" w:name="_Toc101791419"/>
      <w:bookmarkStart w:id="435" w:name="_Toc101791420"/>
      <w:bookmarkStart w:id="436" w:name="_Toc101791421"/>
      <w:bookmarkStart w:id="437" w:name="_Toc101791422"/>
      <w:bookmarkStart w:id="438" w:name="_Toc101791423"/>
      <w:bookmarkStart w:id="439" w:name="_Toc101791424"/>
      <w:bookmarkStart w:id="440" w:name="_Toc101791425"/>
      <w:bookmarkStart w:id="441" w:name="_Toc101791426"/>
      <w:bookmarkStart w:id="442" w:name="_Toc101791427"/>
      <w:bookmarkStart w:id="443" w:name="_Toc101791428"/>
      <w:bookmarkStart w:id="444" w:name="_Toc101791429"/>
      <w:bookmarkStart w:id="445" w:name="_Toc101791430"/>
      <w:bookmarkStart w:id="446" w:name="_Toc101791431"/>
      <w:bookmarkStart w:id="447" w:name="_Toc101791432"/>
      <w:bookmarkStart w:id="448" w:name="_Toc101791433"/>
      <w:bookmarkStart w:id="449" w:name="_Toc101791434"/>
      <w:bookmarkStart w:id="450" w:name="_Toc101791435"/>
      <w:bookmarkStart w:id="451" w:name="_Toc101791436"/>
      <w:bookmarkStart w:id="452" w:name="_Toc101791437"/>
      <w:bookmarkStart w:id="453" w:name="_Toc101791438"/>
      <w:bookmarkStart w:id="454" w:name="_Toc101791439"/>
      <w:bookmarkStart w:id="455" w:name="_Toc101791440"/>
      <w:bookmarkStart w:id="456" w:name="_Toc101791441"/>
      <w:bookmarkStart w:id="457" w:name="_Toc101791442"/>
      <w:bookmarkStart w:id="458" w:name="_Toc101791443"/>
      <w:bookmarkStart w:id="459" w:name="_Toc101791444"/>
      <w:bookmarkStart w:id="460" w:name="_Toc101791445"/>
      <w:bookmarkStart w:id="461" w:name="_Toc101791446"/>
      <w:bookmarkStart w:id="462" w:name="_Toc101791447"/>
      <w:bookmarkStart w:id="463" w:name="_Toc101791448"/>
      <w:bookmarkStart w:id="464" w:name="_Toc101791449"/>
      <w:bookmarkStart w:id="465" w:name="_Toc101791450"/>
      <w:bookmarkStart w:id="466" w:name="_Toc101791451"/>
      <w:bookmarkStart w:id="467" w:name="_Toc101791452"/>
      <w:bookmarkStart w:id="468" w:name="_Toc101791453"/>
      <w:bookmarkStart w:id="469" w:name="_Toc101791454"/>
      <w:bookmarkStart w:id="470" w:name="_Toc101791455"/>
      <w:bookmarkStart w:id="471" w:name="_Toc101791456"/>
      <w:bookmarkStart w:id="472" w:name="_Toc101791457"/>
      <w:bookmarkStart w:id="473" w:name="_Toc101791458"/>
      <w:bookmarkStart w:id="474" w:name="_Toc101791459"/>
      <w:bookmarkStart w:id="475" w:name="_Toc101791460"/>
      <w:bookmarkStart w:id="476" w:name="_Toc101791461"/>
      <w:bookmarkStart w:id="477" w:name="_Toc101791462"/>
      <w:bookmarkStart w:id="478" w:name="_Toc101791463"/>
      <w:bookmarkStart w:id="479" w:name="_Toc101791464"/>
      <w:bookmarkStart w:id="480" w:name="_Toc101791465"/>
      <w:bookmarkStart w:id="481" w:name="_Toc101791466"/>
      <w:bookmarkStart w:id="482" w:name="_Toc101791467"/>
      <w:bookmarkStart w:id="483" w:name="_Toc101791468"/>
      <w:bookmarkStart w:id="484" w:name="_Toc101791469"/>
      <w:bookmarkStart w:id="485" w:name="_Toc101791470"/>
      <w:bookmarkStart w:id="486" w:name="_Toc101791471"/>
      <w:bookmarkStart w:id="487" w:name="_Toc101791472"/>
      <w:bookmarkStart w:id="488" w:name="_Toc101791473"/>
      <w:bookmarkStart w:id="489" w:name="_Toc101791474"/>
      <w:bookmarkStart w:id="490" w:name="_Toc101791475"/>
      <w:bookmarkStart w:id="491" w:name="_Toc101791476"/>
      <w:bookmarkStart w:id="492" w:name="_Toc101791477"/>
      <w:bookmarkStart w:id="493" w:name="_Toc101791478"/>
      <w:bookmarkStart w:id="494" w:name="_Toc101791479"/>
      <w:bookmarkStart w:id="495" w:name="_Toc101791480"/>
      <w:bookmarkStart w:id="496" w:name="_Toc101791481"/>
      <w:bookmarkStart w:id="497" w:name="_Toc101791482"/>
      <w:bookmarkStart w:id="498" w:name="_Toc101791483"/>
      <w:bookmarkStart w:id="499" w:name="_Toc101791484"/>
      <w:bookmarkStart w:id="500" w:name="_Toc101791485"/>
      <w:bookmarkStart w:id="501" w:name="_Toc101791486"/>
      <w:bookmarkStart w:id="502" w:name="_Toc101791487"/>
      <w:bookmarkStart w:id="503" w:name="_Toc101791488"/>
      <w:bookmarkStart w:id="504" w:name="_Toc101791489"/>
      <w:bookmarkStart w:id="505" w:name="_Toc101791490"/>
      <w:bookmarkStart w:id="506" w:name="_Toc101791491"/>
      <w:bookmarkStart w:id="507" w:name="_Toc101791492"/>
      <w:bookmarkStart w:id="508" w:name="_Toc101791493"/>
      <w:bookmarkStart w:id="509" w:name="_Toc101791494"/>
      <w:bookmarkStart w:id="510" w:name="_Toc101791495"/>
      <w:bookmarkStart w:id="511" w:name="_Toc101791496"/>
      <w:bookmarkStart w:id="512" w:name="_Toc101791497"/>
      <w:bookmarkStart w:id="513" w:name="_Toc101791498"/>
      <w:bookmarkStart w:id="514" w:name="_Toc101791499"/>
      <w:bookmarkStart w:id="515" w:name="_Toc101791500"/>
      <w:bookmarkStart w:id="516" w:name="_Toc101791501"/>
      <w:bookmarkStart w:id="517" w:name="_Toc101791502"/>
      <w:bookmarkStart w:id="518" w:name="_Toc101791503"/>
      <w:bookmarkStart w:id="519" w:name="_Toc101791504"/>
      <w:bookmarkStart w:id="520" w:name="_Toc101791505"/>
      <w:bookmarkStart w:id="521" w:name="_Toc101791506"/>
      <w:bookmarkStart w:id="522" w:name="_Toc101791507"/>
      <w:bookmarkStart w:id="523" w:name="_Toc101791508"/>
      <w:bookmarkStart w:id="524" w:name="_Toc101791509"/>
      <w:bookmarkStart w:id="525" w:name="_Toc101791510"/>
      <w:bookmarkStart w:id="526" w:name="_Toc101791511"/>
      <w:bookmarkStart w:id="527" w:name="_Toc101791512"/>
      <w:bookmarkStart w:id="528" w:name="_Toc101791513"/>
      <w:bookmarkStart w:id="529" w:name="_Toc101791514"/>
      <w:bookmarkStart w:id="530" w:name="_Toc101791515"/>
      <w:bookmarkStart w:id="531" w:name="_Relations_sociales"/>
      <w:bookmarkStart w:id="532" w:name="Text"/>
      <w:bookmarkStart w:id="533" w:name="_Toc10179156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3131E7">
        <w:rPr>
          <w:rFonts w:ascii="Georgia" w:eastAsia="DFKai-SB" w:hAnsi="Georgia"/>
          <w:color w:val="000000"/>
          <w:sz w:val="20"/>
          <w:lang w:val="fr-FR"/>
        </w:rPr>
        <w:t>(la « </w:t>
      </w:r>
      <w:r w:rsidRPr="003131E7">
        <w:rPr>
          <w:rFonts w:ascii="Georgia" w:eastAsia="DFKai-SB" w:hAnsi="Georgia"/>
          <w:b/>
          <w:bCs/>
          <w:color w:val="000000"/>
          <w:sz w:val="20"/>
          <w:lang w:val="fr-FR"/>
        </w:rPr>
        <w:t>Société</w:t>
      </w:r>
      <w:r w:rsidRPr="003131E7">
        <w:rPr>
          <w:rFonts w:ascii="Georgia" w:eastAsia="DFKai-SB" w:hAnsi="Georgia"/>
          <w:color w:val="000000"/>
          <w:sz w:val="20"/>
          <w:lang w:val="fr-FR"/>
        </w:rPr>
        <w:t> »)</w:t>
      </w:r>
    </w:p>
    <w:p w14:paraId="414CF38D" w14:textId="77777777" w:rsidR="003131E7" w:rsidRPr="003131E7" w:rsidRDefault="003131E7" w:rsidP="003131E7">
      <w:pPr>
        <w:spacing w:before="120" w:after="240" w:line="240" w:lineRule="atLeast"/>
        <w:jc w:val="both"/>
        <w:rPr>
          <w:rFonts w:ascii="Georgia" w:hAnsi="Georgia"/>
          <w:sz w:val="20"/>
          <w:szCs w:val="22"/>
          <w:lang w:val="fr-FR"/>
        </w:rPr>
      </w:pPr>
    </w:p>
    <w:p w14:paraId="40283BFE" w14:textId="77777777" w:rsidR="003131E7" w:rsidRPr="003131E7" w:rsidRDefault="003131E7" w:rsidP="003131E7">
      <w:pPr>
        <w:rPr>
          <w:rFonts w:ascii="Georgia" w:hAnsi="Georgia"/>
          <w:sz w:val="20"/>
          <w:szCs w:val="20"/>
          <w:lang w:val="fr-FR"/>
        </w:rPr>
      </w:pPr>
    </w:p>
    <w:p w14:paraId="62925BF5" w14:textId="77777777" w:rsidR="003131E7" w:rsidRPr="003131E7" w:rsidRDefault="003131E7" w:rsidP="003131E7">
      <w:pPr>
        <w:pBdr>
          <w:top w:val="single" w:sz="4" w:space="1" w:color="auto"/>
          <w:left w:val="single" w:sz="4" w:space="4" w:color="auto"/>
          <w:bottom w:val="single" w:sz="4" w:space="1" w:color="auto"/>
          <w:right w:val="single" w:sz="4" w:space="4" w:color="auto"/>
        </w:pBdr>
        <w:jc w:val="center"/>
        <w:rPr>
          <w:rFonts w:ascii="Georgia" w:hAnsi="Georgia"/>
          <w:b/>
          <w:caps/>
          <w:sz w:val="20"/>
          <w:szCs w:val="20"/>
          <w:lang w:val="fr-FR"/>
        </w:rPr>
      </w:pPr>
    </w:p>
    <w:p w14:paraId="23DEBA4B" w14:textId="261C69FA" w:rsidR="003131E7" w:rsidRPr="003131E7" w:rsidRDefault="003131E7" w:rsidP="003131E7">
      <w:pPr>
        <w:pBdr>
          <w:top w:val="single" w:sz="4" w:space="1" w:color="auto"/>
          <w:left w:val="single" w:sz="4" w:space="4" w:color="auto"/>
          <w:bottom w:val="single" w:sz="4" w:space="1" w:color="auto"/>
          <w:right w:val="single" w:sz="4" w:space="4" w:color="auto"/>
        </w:pBdr>
        <w:jc w:val="center"/>
        <w:rPr>
          <w:rFonts w:ascii="Georgia" w:hAnsi="Georgia"/>
          <w:b/>
          <w:caps/>
          <w:sz w:val="24"/>
          <w:lang w:val="fr-FR"/>
        </w:rPr>
      </w:pPr>
      <w:r w:rsidRPr="003131E7">
        <w:rPr>
          <w:rFonts w:ascii="Georgia" w:hAnsi="Georgia"/>
          <w:b/>
          <w:caps/>
          <w:sz w:val="24"/>
          <w:lang w:val="fr-FR"/>
        </w:rPr>
        <w:t>assemblÉe GÉnÉrale mIXTE du 1</w:t>
      </w:r>
      <w:r>
        <w:rPr>
          <w:rFonts w:ascii="Georgia" w:hAnsi="Georgia"/>
          <w:b/>
          <w:caps/>
          <w:sz w:val="24"/>
          <w:lang w:val="fr-FR"/>
        </w:rPr>
        <w:t>5</w:t>
      </w:r>
      <w:r w:rsidRPr="003131E7">
        <w:rPr>
          <w:rFonts w:ascii="Georgia" w:hAnsi="Georgia"/>
          <w:b/>
          <w:caps/>
          <w:sz w:val="24"/>
          <w:lang w:val="fr-FR"/>
        </w:rPr>
        <w:t xml:space="preserve"> MAI 202</w:t>
      </w:r>
      <w:r>
        <w:rPr>
          <w:rFonts w:ascii="Georgia" w:hAnsi="Georgia"/>
          <w:b/>
          <w:caps/>
          <w:sz w:val="24"/>
          <w:lang w:val="fr-FR"/>
        </w:rPr>
        <w:t>5</w:t>
      </w:r>
    </w:p>
    <w:p w14:paraId="329DA57D" w14:textId="77777777" w:rsidR="003131E7" w:rsidRPr="003131E7" w:rsidRDefault="003131E7" w:rsidP="003131E7">
      <w:pPr>
        <w:pBdr>
          <w:top w:val="single" w:sz="4" w:space="1" w:color="auto"/>
          <w:left w:val="single" w:sz="4" w:space="4" w:color="auto"/>
          <w:bottom w:val="single" w:sz="4" w:space="1" w:color="auto"/>
          <w:right w:val="single" w:sz="4" w:space="4" w:color="auto"/>
        </w:pBdr>
        <w:jc w:val="center"/>
        <w:rPr>
          <w:rFonts w:ascii="Georgia" w:hAnsi="Georgia"/>
          <w:b/>
          <w:caps/>
          <w:sz w:val="24"/>
          <w:lang w:val="fr-FR"/>
        </w:rPr>
      </w:pPr>
    </w:p>
    <w:p w14:paraId="64E288DF" w14:textId="5A121A1A" w:rsidR="003131E7" w:rsidRPr="003131E7" w:rsidRDefault="003131E7" w:rsidP="003131E7">
      <w:pPr>
        <w:pBdr>
          <w:top w:val="single" w:sz="4" w:space="1" w:color="auto"/>
          <w:left w:val="single" w:sz="4" w:space="4" w:color="auto"/>
          <w:bottom w:val="single" w:sz="4" w:space="1" w:color="auto"/>
          <w:right w:val="single" w:sz="4" w:space="4" w:color="auto"/>
        </w:pBdr>
        <w:jc w:val="center"/>
        <w:rPr>
          <w:rFonts w:ascii="Georgia" w:hAnsi="Georgia"/>
          <w:b/>
          <w:caps/>
          <w:sz w:val="24"/>
          <w:u w:val="single"/>
          <w:lang w:val="fr-FR"/>
        </w:rPr>
      </w:pPr>
      <w:r w:rsidRPr="003131E7">
        <w:rPr>
          <w:rFonts w:ascii="Georgia" w:hAnsi="Georgia"/>
          <w:b/>
          <w:caps/>
          <w:sz w:val="24"/>
          <w:u w:val="single"/>
          <w:lang w:val="fr-FR"/>
        </w:rPr>
        <w:t>Etat des délégations et autorisations en vigueur au 2</w:t>
      </w:r>
      <w:r>
        <w:rPr>
          <w:rFonts w:ascii="Georgia" w:hAnsi="Georgia"/>
          <w:b/>
          <w:caps/>
          <w:sz w:val="24"/>
          <w:u w:val="single"/>
          <w:lang w:val="fr-FR"/>
        </w:rPr>
        <w:t>8</w:t>
      </w:r>
      <w:r w:rsidRPr="003131E7">
        <w:rPr>
          <w:rFonts w:ascii="Georgia" w:hAnsi="Georgia"/>
          <w:b/>
          <w:caps/>
          <w:sz w:val="24"/>
          <w:u w:val="single"/>
          <w:lang w:val="fr-FR"/>
        </w:rPr>
        <w:t xml:space="preserve"> AVRIL 202</w:t>
      </w:r>
      <w:r>
        <w:rPr>
          <w:rFonts w:ascii="Georgia" w:hAnsi="Georgia"/>
          <w:b/>
          <w:caps/>
          <w:sz w:val="24"/>
          <w:u w:val="single"/>
          <w:lang w:val="fr-FR"/>
        </w:rPr>
        <w:t>5</w:t>
      </w:r>
      <w:r w:rsidRPr="003131E7">
        <w:rPr>
          <w:rFonts w:ascii="Georgia" w:hAnsi="Georgia"/>
          <w:b/>
          <w:caps/>
          <w:sz w:val="24"/>
          <w:u w:val="single"/>
          <w:lang w:val="fr-FR"/>
        </w:rPr>
        <w:t xml:space="preserve"> *</w:t>
      </w:r>
    </w:p>
    <w:p w14:paraId="61A9B265" w14:textId="77777777" w:rsidR="003131E7" w:rsidRPr="003131E7" w:rsidRDefault="003131E7" w:rsidP="003131E7">
      <w:pPr>
        <w:pBdr>
          <w:top w:val="single" w:sz="4" w:space="1" w:color="auto"/>
          <w:left w:val="single" w:sz="4" w:space="4" w:color="auto"/>
          <w:bottom w:val="single" w:sz="4" w:space="1" w:color="auto"/>
          <w:right w:val="single" w:sz="4" w:space="4" w:color="auto"/>
        </w:pBdr>
        <w:jc w:val="center"/>
        <w:rPr>
          <w:rFonts w:ascii="Georgia" w:hAnsi="Georgia"/>
          <w:b/>
          <w:caps/>
          <w:sz w:val="24"/>
          <w:lang w:val="fr-FR"/>
        </w:rPr>
      </w:pPr>
    </w:p>
    <w:p w14:paraId="462DAF4C" w14:textId="77777777" w:rsidR="003131E7" w:rsidRPr="003131E7" w:rsidRDefault="003131E7" w:rsidP="003131E7">
      <w:pPr>
        <w:jc w:val="center"/>
        <w:rPr>
          <w:rFonts w:ascii="Georgia" w:hAnsi="Georgia"/>
          <w:b/>
          <w:caps/>
          <w:sz w:val="20"/>
          <w:szCs w:val="20"/>
          <w:lang w:val="fr-FR"/>
        </w:rPr>
      </w:pPr>
    </w:p>
    <w:p w14:paraId="01C30D6B" w14:textId="70C73086" w:rsidR="003131E7" w:rsidRPr="003131E7" w:rsidRDefault="003131E7" w:rsidP="003131E7">
      <w:pPr>
        <w:rPr>
          <w:b/>
          <w:lang w:val="fr-FR"/>
        </w:rPr>
      </w:pPr>
      <w:r w:rsidRPr="00CB391A">
        <w:rPr>
          <w:noProof/>
          <w:szCs w:val="22"/>
          <w:lang w:val="fr-FR"/>
        </w:rPr>
        <w:t>Le tableau ci-après synthétise les différentes délégations financières qui ont été consenties au Conseil d’Administration par l</w:t>
      </w:r>
      <w:r>
        <w:rPr>
          <w:noProof/>
          <w:szCs w:val="22"/>
          <w:lang w:val="fr-FR"/>
        </w:rPr>
        <w:t xml:space="preserve">es </w:t>
      </w:r>
      <w:r w:rsidRPr="00CB391A">
        <w:rPr>
          <w:noProof/>
          <w:szCs w:val="22"/>
          <w:lang w:val="fr-FR"/>
        </w:rPr>
        <w:t>Assemblée</w:t>
      </w:r>
      <w:r>
        <w:rPr>
          <w:noProof/>
          <w:szCs w:val="22"/>
          <w:lang w:val="fr-FR"/>
        </w:rPr>
        <w:t>s</w:t>
      </w:r>
      <w:r w:rsidRPr="00CB391A">
        <w:rPr>
          <w:noProof/>
          <w:szCs w:val="22"/>
          <w:lang w:val="fr-FR"/>
        </w:rPr>
        <w:t xml:space="preserve"> Générale</w:t>
      </w:r>
      <w:r>
        <w:rPr>
          <w:noProof/>
          <w:szCs w:val="22"/>
          <w:lang w:val="fr-FR"/>
        </w:rPr>
        <w:t>s</w:t>
      </w:r>
      <w:r w:rsidRPr="00CB391A">
        <w:rPr>
          <w:noProof/>
          <w:szCs w:val="22"/>
          <w:lang w:val="fr-FR"/>
        </w:rPr>
        <w:t xml:space="preserve"> mixte</w:t>
      </w:r>
      <w:r>
        <w:rPr>
          <w:noProof/>
          <w:szCs w:val="22"/>
          <w:lang w:val="fr-FR"/>
        </w:rPr>
        <w:t>s</w:t>
      </w:r>
      <w:r w:rsidRPr="00CB391A">
        <w:rPr>
          <w:noProof/>
          <w:szCs w:val="22"/>
          <w:lang w:val="fr-FR"/>
        </w:rPr>
        <w:t xml:space="preserve"> des actionnaires de la Société en date </w:t>
      </w:r>
      <w:r>
        <w:rPr>
          <w:noProof/>
          <w:szCs w:val="22"/>
          <w:lang w:val="fr-FR"/>
        </w:rPr>
        <w:t xml:space="preserve">des 14 mai 2024 et du 9 juin 2022, et l’utilisation qui en a été faite </w:t>
      </w:r>
      <w:r w:rsidRPr="00B91A72">
        <w:rPr>
          <w:noProof/>
          <w:szCs w:val="22"/>
          <w:lang w:val="fr-FR"/>
        </w:rPr>
        <w:t>au cours de l’exercice écoulé</w:t>
      </w:r>
      <w:r>
        <w:rPr>
          <w:noProof/>
          <w:szCs w:val="22"/>
          <w:lang w:val="fr-FR"/>
        </w:rPr>
        <w:t>.</w:t>
      </w:r>
    </w:p>
    <w:bookmarkEnd w:id="0"/>
    <w:bookmarkEnd w:id="1"/>
    <w:bookmarkEnd w:id="2"/>
    <w:bookmarkEnd w:id="3"/>
    <w:p w14:paraId="32E67EA4" w14:textId="77777777" w:rsidR="003131E7" w:rsidRPr="003131E7" w:rsidRDefault="003131E7" w:rsidP="003131E7">
      <w:pPr>
        <w:rPr>
          <w:b/>
          <w:lang w:val="fr-FR"/>
        </w:rPr>
      </w:pPr>
    </w:p>
    <w:p w14:paraId="7CA71F18" w14:textId="77777777" w:rsidR="003131E7" w:rsidRDefault="003131E7">
      <w:pPr>
        <w:rPr>
          <w:lang w:val="fr-FR"/>
        </w:rPr>
      </w:pPr>
    </w:p>
    <w:p w14:paraId="140295B3" w14:textId="77777777" w:rsidR="003131E7" w:rsidRDefault="003131E7">
      <w:pPr>
        <w:rPr>
          <w:lang w:val="fr-FR"/>
        </w:rPr>
      </w:pPr>
    </w:p>
    <w:p w14:paraId="6B9E64C5" w14:textId="77777777" w:rsidR="003131E7" w:rsidRDefault="003131E7">
      <w:pPr>
        <w:rPr>
          <w:lang w:val="fr-FR"/>
        </w:rPr>
      </w:pPr>
    </w:p>
    <w:p w14:paraId="5320FC9B" w14:textId="77777777" w:rsidR="003131E7" w:rsidRDefault="003131E7">
      <w:pPr>
        <w:rPr>
          <w:lang w:val="fr-FR"/>
        </w:rPr>
      </w:pPr>
    </w:p>
    <w:p w14:paraId="792554C9" w14:textId="77777777" w:rsidR="003131E7" w:rsidRDefault="003131E7">
      <w:pPr>
        <w:rPr>
          <w:lang w:val="fr-FR"/>
        </w:rPr>
      </w:pPr>
    </w:p>
    <w:p w14:paraId="3AE025B1" w14:textId="77777777" w:rsidR="003131E7" w:rsidRDefault="003131E7">
      <w:pPr>
        <w:rPr>
          <w:lang w:val="fr-FR"/>
        </w:rPr>
      </w:pPr>
    </w:p>
    <w:p w14:paraId="201C4D31" w14:textId="77777777" w:rsidR="003131E7" w:rsidRDefault="003131E7">
      <w:pPr>
        <w:rPr>
          <w:lang w:val="fr-FR"/>
        </w:rPr>
      </w:pPr>
    </w:p>
    <w:p w14:paraId="7DD8927F" w14:textId="77777777" w:rsidR="003131E7" w:rsidRDefault="003131E7">
      <w:pPr>
        <w:rPr>
          <w:lang w:val="fr-FR"/>
        </w:rPr>
      </w:pPr>
    </w:p>
    <w:p w14:paraId="59AFCF1B" w14:textId="77777777" w:rsidR="003131E7" w:rsidRDefault="003131E7">
      <w:pPr>
        <w:rPr>
          <w:lang w:val="fr-FR"/>
        </w:rPr>
      </w:pPr>
    </w:p>
    <w:p w14:paraId="1E22BBF0" w14:textId="77777777" w:rsidR="003131E7" w:rsidRDefault="003131E7">
      <w:pPr>
        <w:rPr>
          <w:lang w:val="fr-FR"/>
        </w:rPr>
      </w:pPr>
    </w:p>
    <w:p w14:paraId="0BADEF08" w14:textId="77777777" w:rsidR="003131E7" w:rsidRDefault="003131E7">
      <w:pPr>
        <w:rPr>
          <w:lang w:val="fr-FR"/>
        </w:rPr>
      </w:pPr>
    </w:p>
    <w:p w14:paraId="650AB960" w14:textId="77777777" w:rsidR="003131E7" w:rsidRDefault="003131E7">
      <w:pPr>
        <w:rPr>
          <w:lang w:val="fr-FR"/>
        </w:rPr>
      </w:pPr>
    </w:p>
    <w:p w14:paraId="4936E5A6" w14:textId="77777777" w:rsidR="003131E7" w:rsidRDefault="003131E7">
      <w:pPr>
        <w:rPr>
          <w:lang w:val="fr-FR"/>
        </w:rPr>
      </w:pPr>
    </w:p>
    <w:p w14:paraId="6E9C46F9" w14:textId="77777777" w:rsidR="003131E7" w:rsidRDefault="003131E7">
      <w:pPr>
        <w:rPr>
          <w:lang w:val="fr-FR"/>
        </w:rPr>
      </w:pPr>
    </w:p>
    <w:p w14:paraId="66BF6A5D" w14:textId="77777777" w:rsidR="003131E7" w:rsidRDefault="003131E7">
      <w:pPr>
        <w:rPr>
          <w:lang w:val="fr-FR"/>
        </w:rPr>
      </w:pPr>
    </w:p>
    <w:p w14:paraId="044A27E2" w14:textId="77777777" w:rsidR="003131E7" w:rsidRDefault="003131E7">
      <w:pPr>
        <w:rPr>
          <w:lang w:val="fr-FR"/>
        </w:rPr>
      </w:pPr>
    </w:p>
    <w:p w14:paraId="1A804C7A" w14:textId="77777777" w:rsidR="003131E7" w:rsidRPr="003131E7" w:rsidRDefault="003131E7">
      <w:pPr>
        <w:rPr>
          <w:sz w:val="16"/>
          <w:szCs w:val="18"/>
          <w:lang w:val="fr-FR"/>
        </w:rPr>
      </w:pPr>
    </w:p>
    <w:p w14:paraId="48A608DE" w14:textId="4BE0F163" w:rsidR="003131E7" w:rsidRPr="003131E7" w:rsidRDefault="003131E7">
      <w:pPr>
        <w:rPr>
          <w:sz w:val="16"/>
          <w:szCs w:val="18"/>
          <w:lang w:val="fr-FR"/>
        </w:rPr>
      </w:pPr>
      <w:r w:rsidRPr="003131E7">
        <w:rPr>
          <w:sz w:val="16"/>
          <w:szCs w:val="18"/>
          <w:lang w:val="fr-FR"/>
        </w:rPr>
        <w:t xml:space="preserve">* inchangé par rapport au tableau publié dans le Document d’Enregistrement Universel du </w:t>
      </w:r>
      <w:r w:rsidRPr="003131E7">
        <w:rPr>
          <w:sz w:val="16"/>
          <w:szCs w:val="18"/>
          <w:lang w:val="fr-FR"/>
        </w:rPr>
        <w:t>28</w:t>
      </w:r>
      <w:r w:rsidRPr="003131E7">
        <w:rPr>
          <w:sz w:val="16"/>
          <w:szCs w:val="18"/>
          <w:lang w:val="fr-FR"/>
        </w:rPr>
        <w:t xml:space="preserve"> avril 202</w:t>
      </w:r>
      <w:r w:rsidRPr="003131E7">
        <w:rPr>
          <w:sz w:val="16"/>
          <w:szCs w:val="18"/>
          <w:lang w:val="fr-FR"/>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878"/>
        <w:gridCol w:w="6"/>
        <w:gridCol w:w="1739"/>
        <w:gridCol w:w="2209"/>
        <w:gridCol w:w="3575"/>
        <w:gridCol w:w="3592"/>
      </w:tblGrid>
      <w:tr w:rsidR="003131E7" w:rsidRPr="00AB6E7A" w14:paraId="317DC418" w14:textId="77777777" w:rsidTr="003131E7">
        <w:trPr>
          <w:cantSplit/>
          <w:tblHeader/>
        </w:trPr>
        <w:tc>
          <w:tcPr>
            <w:tcW w:w="1030" w:type="pct"/>
            <w:gridSpan w:val="2"/>
            <w:tcBorders>
              <w:top w:val="nil"/>
              <w:left w:val="nil"/>
              <w:bottom w:val="nil"/>
              <w:right w:val="nil"/>
            </w:tcBorders>
            <w:shd w:val="clear" w:color="auto" w:fill="FFFFFF"/>
            <w:vAlign w:val="center"/>
          </w:tcPr>
          <w:p w14:paraId="2C63F7B7" w14:textId="77777777" w:rsidR="003131E7" w:rsidRPr="009F0288" w:rsidRDefault="003131E7" w:rsidP="0039796A">
            <w:pPr>
              <w:keepNext/>
              <w:keepLines/>
              <w:spacing w:before="120" w:after="120"/>
              <w:rPr>
                <w:b/>
                <w:sz w:val="18"/>
                <w:szCs w:val="18"/>
                <w:lang w:val="fr-FR"/>
              </w:rPr>
            </w:pPr>
          </w:p>
        </w:tc>
        <w:tc>
          <w:tcPr>
            <w:tcW w:w="621" w:type="pct"/>
            <w:tcBorders>
              <w:left w:val="nil"/>
            </w:tcBorders>
            <w:shd w:val="clear" w:color="auto" w:fill="4472C4"/>
            <w:vAlign w:val="center"/>
          </w:tcPr>
          <w:p w14:paraId="1222E2C0" w14:textId="77777777" w:rsidR="003131E7" w:rsidRPr="009F0288" w:rsidRDefault="003131E7" w:rsidP="0039796A">
            <w:pPr>
              <w:keepNext/>
              <w:keepLines/>
              <w:spacing w:before="120" w:after="120"/>
              <w:jc w:val="center"/>
              <w:rPr>
                <w:b/>
                <w:color w:val="FFFFFF"/>
                <w:sz w:val="18"/>
                <w:szCs w:val="18"/>
              </w:rPr>
            </w:pPr>
            <w:r w:rsidRPr="009F0288">
              <w:rPr>
                <w:b/>
                <w:color w:val="FFFFFF"/>
                <w:sz w:val="18"/>
                <w:szCs w:val="18"/>
              </w:rPr>
              <w:t xml:space="preserve">Durée de </w:t>
            </w:r>
            <w:proofErr w:type="spellStart"/>
            <w:r w:rsidRPr="009F0288">
              <w:rPr>
                <w:b/>
                <w:color w:val="FFFFFF"/>
                <w:sz w:val="18"/>
                <w:szCs w:val="18"/>
              </w:rPr>
              <w:t>validité</w:t>
            </w:r>
            <w:proofErr w:type="spellEnd"/>
          </w:p>
        </w:tc>
        <w:tc>
          <w:tcPr>
            <w:tcW w:w="789" w:type="pct"/>
            <w:shd w:val="clear" w:color="auto" w:fill="4472C4"/>
            <w:vAlign w:val="center"/>
          </w:tcPr>
          <w:p w14:paraId="5F61AD39" w14:textId="77777777" w:rsidR="003131E7" w:rsidRPr="009F0288" w:rsidRDefault="003131E7" w:rsidP="0039796A">
            <w:pPr>
              <w:keepNext/>
              <w:keepLines/>
              <w:spacing w:before="120" w:after="120"/>
              <w:jc w:val="center"/>
              <w:rPr>
                <w:b/>
                <w:color w:val="FFFFFF"/>
                <w:sz w:val="18"/>
                <w:szCs w:val="18"/>
                <w:lang w:val="fr-FR"/>
              </w:rPr>
            </w:pPr>
            <w:r w:rsidRPr="009F0288">
              <w:rPr>
                <w:b/>
                <w:color w:val="FFFFFF"/>
                <w:sz w:val="18"/>
                <w:szCs w:val="18"/>
                <w:lang w:val="fr-FR"/>
              </w:rPr>
              <w:t>Plafond (valeur nominale)/</w:t>
            </w:r>
          </w:p>
          <w:p w14:paraId="413F5CDE" w14:textId="77777777" w:rsidR="003131E7" w:rsidRPr="009F0288" w:rsidRDefault="003131E7" w:rsidP="0039796A">
            <w:pPr>
              <w:keepNext/>
              <w:keepLines/>
              <w:spacing w:before="120" w:after="120"/>
              <w:jc w:val="center"/>
              <w:rPr>
                <w:b/>
                <w:color w:val="FFFFFF"/>
                <w:sz w:val="18"/>
                <w:szCs w:val="18"/>
                <w:lang w:val="fr-FR"/>
              </w:rPr>
            </w:pPr>
            <w:r w:rsidRPr="009F0288">
              <w:rPr>
                <w:b/>
                <w:color w:val="FFFFFF"/>
                <w:sz w:val="18"/>
                <w:szCs w:val="18"/>
                <w:lang w:val="fr-FR"/>
              </w:rPr>
              <w:t>Imputation sur le Plafond</w:t>
            </w:r>
          </w:p>
        </w:tc>
        <w:tc>
          <w:tcPr>
            <w:tcW w:w="1277" w:type="pct"/>
            <w:tcBorders>
              <w:right w:val="single" w:sz="4" w:space="0" w:color="auto"/>
            </w:tcBorders>
            <w:shd w:val="clear" w:color="auto" w:fill="4472C4"/>
            <w:vAlign w:val="center"/>
          </w:tcPr>
          <w:p w14:paraId="36DA7F79" w14:textId="77777777" w:rsidR="003131E7" w:rsidRPr="009F0288" w:rsidRDefault="003131E7" w:rsidP="0039796A">
            <w:pPr>
              <w:keepNext/>
              <w:keepLines/>
              <w:spacing w:before="120" w:after="120"/>
              <w:jc w:val="center"/>
              <w:rPr>
                <w:b/>
                <w:color w:val="FFFFFF"/>
                <w:sz w:val="18"/>
                <w:szCs w:val="18"/>
                <w:lang w:val="fr-FR"/>
              </w:rPr>
            </w:pPr>
            <w:r w:rsidRPr="009F0288">
              <w:rPr>
                <w:b/>
                <w:color w:val="FFFFFF"/>
                <w:sz w:val="18"/>
                <w:szCs w:val="18"/>
                <w:lang w:val="fr-FR"/>
              </w:rPr>
              <w:t>Modalités de détermination du prix</w:t>
            </w:r>
          </w:p>
        </w:tc>
        <w:tc>
          <w:tcPr>
            <w:tcW w:w="1283" w:type="pct"/>
            <w:tcBorders>
              <w:right w:val="single" w:sz="4" w:space="0" w:color="auto"/>
            </w:tcBorders>
            <w:shd w:val="clear" w:color="auto" w:fill="4472C4"/>
          </w:tcPr>
          <w:p w14:paraId="77592217" w14:textId="77777777" w:rsidR="003131E7" w:rsidRPr="009F0288" w:rsidRDefault="003131E7" w:rsidP="0039796A">
            <w:pPr>
              <w:keepNext/>
              <w:keepLines/>
              <w:spacing w:before="120" w:after="120"/>
              <w:jc w:val="center"/>
              <w:rPr>
                <w:b/>
                <w:color w:val="FFFFFF"/>
                <w:sz w:val="18"/>
                <w:szCs w:val="18"/>
                <w:lang w:val="fr-FR"/>
              </w:rPr>
            </w:pPr>
            <w:r>
              <w:rPr>
                <w:b/>
                <w:color w:val="FFFFFF" w:themeColor="background1"/>
                <w:sz w:val="18"/>
                <w:szCs w:val="18"/>
                <w:lang w:val="fr-FR"/>
              </w:rPr>
              <w:t>Utilisation/Solde disponible</w:t>
            </w:r>
          </w:p>
        </w:tc>
      </w:tr>
      <w:tr w:rsidR="003131E7" w:rsidRPr="003131E7" w14:paraId="4E41BE3F" w14:textId="77777777" w:rsidTr="0039796A">
        <w:trPr>
          <w:cantSplit/>
          <w:trHeight w:val="541"/>
        </w:trPr>
        <w:tc>
          <w:tcPr>
            <w:tcW w:w="5000" w:type="pct"/>
            <w:gridSpan w:val="6"/>
            <w:tcBorders>
              <w:top w:val="single" w:sz="4" w:space="0" w:color="auto"/>
              <w:right w:val="single" w:sz="4" w:space="0" w:color="auto"/>
            </w:tcBorders>
            <w:shd w:val="clear" w:color="auto" w:fill="DBE5F1"/>
            <w:vAlign w:val="center"/>
          </w:tcPr>
          <w:p w14:paraId="40D88A63" w14:textId="77777777" w:rsidR="003131E7" w:rsidRPr="00D3737A" w:rsidRDefault="003131E7" w:rsidP="0039796A">
            <w:pPr>
              <w:keepNext/>
              <w:keepLines/>
              <w:spacing w:before="120" w:after="120"/>
              <w:jc w:val="center"/>
              <w:rPr>
                <w:b/>
                <w:bCs/>
                <w:sz w:val="18"/>
                <w:szCs w:val="18"/>
                <w:lang w:val="fr-FR"/>
              </w:rPr>
            </w:pPr>
            <w:r w:rsidRPr="00D3737A">
              <w:rPr>
                <w:b/>
                <w:bCs/>
                <w:sz w:val="18"/>
                <w:szCs w:val="18"/>
                <w:lang w:val="fr-FR"/>
              </w:rPr>
              <w:t>ASSEMBLEE GENERALE MIXTE DU 14 MAI 2024</w:t>
            </w:r>
          </w:p>
        </w:tc>
      </w:tr>
      <w:tr w:rsidR="003131E7" w:rsidRPr="00AB6E7A" w14:paraId="78BD65BD" w14:textId="77777777" w:rsidTr="003131E7">
        <w:trPr>
          <w:cantSplit/>
          <w:trHeight w:val="541"/>
        </w:trPr>
        <w:tc>
          <w:tcPr>
            <w:tcW w:w="3717" w:type="pct"/>
            <w:gridSpan w:val="5"/>
            <w:tcBorders>
              <w:top w:val="single" w:sz="4" w:space="0" w:color="auto"/>
              <w:right w:val="single" w:sz="4" w:space="0" w:color="auto"/>
            </w:tcBorders>
            <w:shd w:val="clear" w:color="auto" w:fill="DBE5F1"/>
            <w:vAlign w:val="center"/>
          </w:tcPr>
          <w:p w14:paraId="16BCCAC1" w14:textId="77777777" w:rsidR="003131E7" w:rsidRDefault="003131E7" w:rsidP="0039796A">
            <w:pPr>
              <w:keepNext/>
              <w:keepLines/>
              <w:spacing w:before="120" w:after="120"/>
              <w:jc w:val="center"/>
              <w:rPr>
                <w:sz w:val="18"/>
                <w:szCs w:val="18"/>
                <w:lang w:val="fr-FR"/>
              </w:rPr>
            </w:pPr>
            <w:r w:rsidRPr="009F0288">
              <w:rPr>
                <w:sz w:val="18"/>
                <w:szCs w:val="18"/>
                <w:lang w:val="fr-FR"/>
              </w:rPr>
              <w:t>PLAFOND GLOBAL PROPRE AUX DELEGATIONS FINANCIERES :</w:t>
            </w:r>
          </w:p>
          <w:p w14:paraId="4B2C5F43" w14:textId="49532B9C" w:rsidR="003131E7" w:rsidRPr="009F0288" w:rsidRDefault="003131E7" w:rsidP="0039796A">
            <w:pPr>
              <w:keepNext/>
              <w:keepLines/>
              <w:spacing w:before="120" w:after="120"/>
              <w:jc w:val="center"/>
              <w:rPr>
                <w:sz w:val="18"/>
                <w:szCs w:val="18"/>
                <w:lang w:val="fr-FR"/>
              </w:rPr>
            </w:pPr>
            <w:r w:rsidRPr="009F0288">
              <w:rPr>
                <w:sz w:val="18"/>
                <w:szCs w:val="18"/>
                <w:lang w:val="fr-FR"/>
              </w:rPr>
              <w:t xml:space="preserve">1 500 000 Euros (augmentation de capital) – 50 MEUR (titres de créances) </w:t>
            </w:r>
          </w:p>
        </w:tc>
        <w:tc>
          <w:tcPr>
            <w:tcW w:w="1283" w:type="pct"/>
            <w:tcBorders>
              <w:top w:val="single" w:sz="4" w:space="0" w:color="auto"/>
              <w:right w:val="single" w:sz="4" w:space="0" w:color="auto"/>
            </w:tcBorders>
            <w:shd w:val="clear" w:color="auto" w:fill="DBE5F1"/>
          </w:tcPr>
          <w:p w14:paraId="004F6828" w14:textId="77777777" w:rsidR="003131E7" w:rsidRDefault="003131E7" w:rsidP="0039796A">
            <w:pPr>
              <w:keepNext/>
              <w:keepLines/>
              <w:spacing w:before="120" w:after="120"/>
              <w:jc w:val="center"/>
              <w:rPr>
                <w:sz w:val="18"/>
                <w:szCs w:val="18"/>
                <w:lang w:val="fr-FR"/>
              </w:rPr>
            </w:pPr>
            <w:r>
              <w:rPr>
                <w:sz w:val="18"/>
                <w:szCs w:val="18"/>
                <w:lang w:val="fr-FR"/>
              </w:rPr>
              <w:t>Néant</w:t>
            </w:r>
          </w:p>
          <w:p w14:paraId="015B7FB5" w14:textId="77777777" w:rsidR="003131E7" w:rsidRDefault="003131E7" w:rsidP="0039796A">
            <w:pPr>
              <w:keepNext/>
              <w:keepLines/>
              <w:spacing w:before="120" w:after="120"/>
              <w:jc w:val="center"/>
              <w:rPr>
                <w:sz w:val="18"/>
                <w:szCs w:val="18"/>
                <w:lang w:val="fr-FR"/>
              </w:rPr>
            </w:pPr>
            <w:r>
              <w:rPr>
                <w:sz w:val="18"/>
                <w:szCs w:val="18"/>
                <w:lang w:val="fr-FR"/>
              </w:rPr>
              <w:t>Solde disponible</w:t>
            </w:r>
          </w:p>
          <w:p w14:paraId="2E3EE693" w14:textId="77777777" w:rsidR="003131E7" w:rsidRDefault="003131E7" w:rsidP="0039796A">
            <w:pPr>
              <w:keepNext/>
              <w:keepLines/>
              <w:spacing w:before="120" w:after="120"/>
              <w:jc w:val="center"/>
              <w:rPr>
                <w:w w:val="90"/>
                <w:sz w:val="18"/>
                <w:szCs w:val="18"/>
                <w:lang w:val="fr-FR"/>
              </w:rPr>
            </w:pPr>
            <w:r w:rsidRPr="009F0288">
              <w:rPr>
                <w:w w:val="90"/>
                <w:sz w:val="18"/>
                <w:szCs w:val="18"/>
                <w:lang w:val="fr-FR"/>
              </w:rPr>
              <w:t>Augmentation de capital :</w:t>
            </w:r>
            <w:r w:rsidRPr="009F0288">
              <w:rPr>
                <w:w w:val="90"/>
                <w:sz w:val="18"/>
                <w:szCs w:val="18"/>
                <w:lang w:val="fr-FR"/>
              </w:rPr>
              <w:br/>
              <w:t>1.</w:t>
            </w:r>
            <w:r>
              <w:rPr>
                <w:w w:val="90"/>
                <w:sz w:val="18"/>
                <w:szCs w:val="18"/>
                <w:lang w:val="fr-FR"/>
              </w:rPr>
              <w:t>5</w:t>
            </w:r>
            <w:r w:rsidRPr="009F0288">
              <w:rPr>
                <w:w w:val="90"/>
                <w:sz w:val="18"/>
                <w:szCs w:val="18"/>
                <w:lang w:val="fr-FR"/>
              </w:rPr>
              <w:t>00.000 €</w:t>
            </w:r>
          </w:p>
          <w:p w14:paraId="3E205082" w14:textId="77777777" w:rsidR="003131E7" w:rsidRPr="009F0288" w:rsidRDefault="003131E7" w:rsidP="0039796A">
            <w:pPr>
              <w:spacing w:after="160" w:line="259" w:lineRule="auto"/>
              <w:jc w:val="center"/>
              <w:rPr>
                <w:sz w:val="18"/>
                <w:szCs w:val="18"/>
                <w:lang w:val="fr-FR"/>
              </w:rPr>
            </w:pPr>
            <w:r w:rsidRPr="009F0288">
              <w:rPr>
                <w:w w:val="90"/>
                <w:sz w:val="18"/>
                <w:szCs w:val="18"/>
                <w:lang w:val="fr-FR"/>
              </w:rPr>
              <w:t>Titres de créances :</w:t>
            </w:r>
            <w:r w:rsidRPr="009F0288">
              <w:rPr>
                <w:w w:val="90"/>
                <w:sz w:val="18"/>
                <w:szCs w:val="18"/>
                <w:lang w:val="fr-FR"/>
              </w:rPr>
              <w:br/>
              <w:t>50.000.000 €</w:t>
            </w:r>
          </w:p>
        </w:tc>
      </w:tr>
      <w:tr w:rsidR="003131E7" w:rsidRPr="003131E7" w14:paraId="3181A633" w14:textId="77777777" w:rsidTr="003131E7">
        <w:trPr>
          <w:cantSplit/>
          <w:trHeight w:val="1571"/>
        </w:trPr>
        <w:tc>
          <w:tcPr>
            <w:tcW w:w="1030" w:type="pct"/>
            <w:gridSpan w:val="2"/>
            <w:tcBorders>
              <w:top w:val="single" w:sz="4" w:space="0" w:color="auto"/>
            </w:tcBorders>
            <w:shd w:val="clear" w:color="auto" w:fill="DBE5F1"/>
            <w:vAlign w:val="center"/>
          </w:tcPr>
          <w:p w14:paraId="14F4EDB0" w14:textId="77777777" w:rsidR="003131E7" w:rsidRPr="009F0288" w:rsidRDefault="003131E7" w:rsidP="0039796A">
            <w:pPr>
              <w:spacing w:before="120" w:after="120"/>
              <w:rPr>
                <w:noProof/>
                <w:sz w:val="18"/>
                <w:szCs w:val="18"/>
                <w:lang w:val="fr-FR"/>
              </w:rPr>
            </w:pPr>
            <w:r w:rsidRPr="009F0288">
              <w:rPr>
                <w:rFonts w:eastAsia="Arial Unicode MS"/>
                <w:sz w:val="18"/>
                <w:szCs w:val="18"/>
                <w:lang w:val="fr-FR"/>
              </w:rPr>
              <w:t xml:space="preserve">Délégation de compétence </w:t>
            </w:r>
            <w:r w:rsidRPr="009F0288">
              <w:rPr>
                <w:noProof/>
                <w:sz w:val="18"/>
                <w:szCs w:val="18"/>
                <w:lang w:val="fr-FR"/>
              </w:rPr>
              <w:t>à consentir</w:t>
            </w:r>
            <w:r w:rsidRPr="009F0288">
              <w:rPr>
                <w:rFonts w:eastAsia="Arial Unicode MS"/>
                <w:sz w:val="18"/>
                <w:szCs w:val="18"/>
                <w:lang w:val="fr-FR"/>
              </w:rPr>
              <w:t xml:space="preserve"> au </w:t>
            </w:r>
            <w:r w:rsidRPr="009F0288">
              <w:rPr>
                <w:noProof/>
                <w:sz w:val="18"/>
                <w:szCs w:val="18"/>
                <w:lang w:val="fr-FR"/>
              </w:rPr>
              <w:t>Conseil d’administration</w:t>
            </w:r>
            <w:r w:rsidRPr="009F0288">
              <w:rPr>
                <w:rFonts w:eastAsia="Arial Unicode MS"/>
                <w:sz w:val="18"/>
                <w:szCs w:val="18"/>
                <w:lang w:val="fr-FR"/>
              </w:rPr>
              <w:t xml:space="preserve"> en vue d’augmenter le capital par émission d’actions ordinaires et/ou de toutes valeurs mobilières, avec maintien du droit préférentiel de souscription</w:t>
            </w:r>
            <w:r w:rsidRPr="009F0288">
              <w:rPr>
                <w:noProof/>
                <w:sz w:val="18"/>
                <w:szCs w:val="18"/>
                <w:lang w:val="fr-FR"/>
              </w:rPr>
              <w:t xml:space="preserve"> </w:t>
            </w:r>
          </w:p>
          <w:p w14:paraId="134F2D51" w14:textId="77777777" w:rsidR="003131E7" w:rsidRPr="009F0288" w:rsidRDefault="003131E7" w:rsidP="0039796A">
            <w:pPr>
              <w:spacing w:before="120" w:after="120"/>
              <w:rPr>
                <w:rFonts w:eastAsia="Arial Unicode MS"/>
                <w:sz w:val="18"/>
                <w:szCs w:val="18"/>
              </w:rPr>
            </w:pPr>
            <w:r w:rsidRPr="009F0288">
              <w:rPr>
                <w:noProof/>
                <w:sz w:val="18"/>
                <w:szCs w:val="18"/>
              </w:rPr>
              <w:t>(6</w:t>
            </w:r>
            <w:r w:rsidRPr="009F0288">
              <w:rPr>
                <w:noProof/>
                <w:sz w:val="18"/>
                <w:szCs w:val="18"/>
                <w:vertAlign w:val="superscript"/>
              </w:rPr>
              <w:t>ème</w:t>
            </w:r>
            <w:r w:rsidRPr="009F0288">
              <w:rPr>
                <w:noProof/>
                <w:sz w:val="18"/>
                <w:szCs w:val="18"/>
              </w:rPr>
              <w:t xml:space="preserve"> résolution AGM 14 mai 2024)</w:t>
            </w:r>
          </w:p>
        </w:tc>
        <w:tc>
          <w:tcPr>
            <w:tcW w:w="621" w:type="pct"/>
            <w:vAlign w:val="center"/>
          </w:tcPr>
          <w:p w14:paraId="5F8A2EA0" w14:textId="77777777" w:rsidR="003131E7" w:rsidRPr="009F0288" w:rsidRDefault="003131E7" w:rsidP="0039796A">
            <w:pPr>
              <w:widowControl w:val="0"/>
              <w:spacing w:before="120" w:after="120"/>
              <w:jc w:val="center"/>
              <w:rPr>
                <w:rFonts w:eastAsia="Arial Unicode MS"/>
                <w:sz w:val="18"/>
                <w:szCs w:val="18"/>
              </w:rPr>
            </w:pPr>
            <w:r w:rsidRPr="009F0288">
              <w:rPr>
                <w:rFonts w:eastAsia="Arial Unicode MS"/>
                <w:sz w:val="18"/>
                <w:szCs w:val="18"/>
              </w:rPr>
              <w:t xml:space="preserve">26 </w:t>
            </w:r>
            <w:proofErr w:type="spellStart"/>
            <w:r w:rsidRPr="009F0288">
              <w:rPr>
                <w:rFonts w:eastAsia="Arial Unicode MS"/>
                <w:sz w:val="18"/>
                <w:szCs w:val="18"/>
              </w:rPr>
              <w:t>mois</w:t>
            </w:r>
            <w:proofErr w:type="spellEnd"/>
          </w:p>
          <w:p w14:paraId="532BA4CA" w14:textId="77777777" w:rsidR="003131E7" w:rsidRPr="009F0288" w:rsidRDefault="003131E7" w:rsidP="0039796A">
            <w:pPr>
              <w:widowControl w:val="0"/>
              <w:spacing w:before="120" w:after="120"/>
              <w:jc w:val="center"/>
              <w:rPr>
                <w:rFonts w:eastAsia="Arial Unicode MS"/>
                <w:sz w:val="18"/>
                <w:szCs w:val="18"/>
              </w:rPr>
            </w:pPr>
          </w:p>
        </w:tc>
        <w:tc>
          <w:tcPr>
            <w:tcW w:w="789" w:type="pct"/>
            <w:vAlign w:val="center"/>
          </w:tcPr>
          <w:p w14:paraId="4C5DAC1A"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1.200.000 €, soit 50% du capital social</w:t>
            </w:r>
          </w:p>
          <w:p w14:paraId="40A04FAA"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p>
          <w:p w14:paraId="611D0E03" w14:textId="77777777" w:rsidR="003131E7" w:rsidRPr="009F0288" w:rsidRDefault="003131E7" w:rsidP="0039796A">
            <w:pPr>
              <w:spacing w:after="160" w:line="259" w:lineRule="auto"/>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32AF8074" w14:textId="77777777" w:rsidR="003131E7" w:rsidRPr="009F0288" w:rsidRDefault="003131E7" w:rsidP="0039796A">
            <w:pPr>
              <w:spacing w:after="160" w:line="259" w:lineRule="auto"/>
              <w:rPr>
                <w:w w:val="90"/>
                <w:sz w:val="18"/>
                <w:szCs w:val="18"/>
                <w:lang w:val="fr-FR"/>
              </w:rPr>
            </w:pPr>
          </w:p>
          <w:p w14:paraId="11DFA32E"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rFonts w:eastAsia="Arial Unicode MS"/>
                <w:sz w:val="18"/>
                <w:szCs w:val="18"/>
                <w:lang w:val="fr-FR"/>
              </w:rPr>
            </w:pPr>
            <w:r w:rsidRPr="009F0288">
              <w:rPr>
                <w:w w:val="90"/>
                <w:sz w:val="18"/>
                <w:szCs w:val="18"/>
                <w:lang w:val="fr-FR"/>
              </w:rPr>
              <w:t>Plafonds non indépendants, s’imputant sur le plafond propre aux délégations financières</w:t>
            </w:r>
          </w:p>
        </w:tc>
        <w:tc>
          <w:tcPr>
            <w:tcW w:w="1277" w:type="pct"/>
            <w:vAlign w:val="center"/>
          </w:tcPr>
          <w:p w14:paraId="4B83E8A9" w14:textId="77777777" w:rsidR="003131E7" w:rsidRPr="009F0288" w:rsidRDefault="003131E7" w:rsidP="003131E7">
            <w:pPr>
              <w:widowControl w:val="0"/>
              <w:tabs>
                <w:tab w:val="left" w:pos="160"/>
              </w:tabs>
              <w:suppressAutoHyphens/>
              <w:autoSpaceDE w:val="0"/>
              <w:autoSpaceDN w:val="0"/>
              <w:adjustRightInd w:val="0"/>
              <w:spacing w:line="180" w:lineRule="atLeast"/>
              <w:jc w:val="center"/>
              <w:textAlignment w:val="center"/>
              <w:rPr>
                <w:w w:val="90"/>
                <w:sz w:val="18"/>
                <w:szCs w:val="18"/>
              </w:rPr>
            </w:pPr>
            <w:r w:rsidRPr="009F0288">
              <w:rPr>
                <w:w w:val="90"/>
                <w:sz w:val="18"/>
                <w:szCs w:val="18"/>
              </w:rPr>
              <w:t>N/A</w:t>
            </w:r>
          </w:p>
          <w:p w14:paraId="1E818A24" w14:textId="77777777" w:rsidR="003131E7" w:rsidRPr="009F0288" w:rsidRDefault="003131E7" w:rsidP="0039796A">
            <w:pPr>
              <w:keepNext/>
              <w:keepLines/>
              <w:spacing w:before="120" w:after="120"/>
              <w:jc w:val="center"/>
              <w:rPr>
                <w:sz w:val="18"/>
                <w:szCs w:val="18"/>
              </w:rPr>
            </w:pPr>
          </w:p>
        </w:tc>
        <w:tc>
          <w:tcPr>
            <w:tcW w:w="1283" w:type="pct"/>
          </w:tcPr>
          <w:p w14:paraId="6A9D4C62"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1.200.000 €, soit 50% du capital social</w:t>
            </w:r>
          </w:p>
          <w:p w14:paraId="2F884C7B"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p>
          <w:p w14:paraId="1AEACE59" w14:textId="77777777" w:rsidR="003131E7" w:rsidRPr="009F0288" w:rsidRDefault="003131E7" w:rsidP="0039796A">
            <w:pPr>
              <w:spacing w:after="160" w:line="259" w:lineRule="auto"/>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3CFAE0A2" w14:textId="77777777" w:rsidR="003131E7" w:rsidRPr="009F0288" w:rsidRDefault="003131E7" w:rsidP="0039796A">
            <w:pPr>
              <w:spacing w:after="160" w:line="259" w:lineRule="auto"/>
              <w:rPr>
                <w:w w:val="90"/>
                <w:sz w:val="18"/>
                <w:szCs w:val="18"/>
                <w:lang w:val="fr-FR"/>
              </w:rPr>
            </w:pPr>
          </w:p>
          <w:p w14:paraId="7F887872" w14:textId="77777777" w:rsidR="003131E7" w:rsidRPr="00D3737A"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r w:rsidRPr="009F0288">
              <w:rPr>
                <w:w w:val="90"/>
                <w:sz w:val="18"/>
                <w:szCs w:val="18"/>
                <w:lang w:val="fr-FR"/>
              </w:rPr>
              <w:t>Plafonds non indépendants, s’imputant sur le plafond propre aux délégations financières</w:t>
            </w:r>
          </w:p>
        </w:tc>
      </w:tr>
      <w:tr w:rsidR="003131E7" w:rsidRPr="003131E7" w14:paraId="77BCBB6B" w14:textId="77777777" w:rsidTr="003131E7">
        <w:trPr>
          <w:cantSplit/>
          <w:trHeight w:val="1505"/>
        </w:trPr>
        <w:tc>
          <w:tcPr>
            <w:tcW w:w="1030" w:type="pct"/>
            <w:gridSpan w:val="2"/>
            <w:shd w:val="clear" w:color="auto" w:fill="DBE5F1"/>
            <w:vAlign w:val="center"/>
          </w:tcPr>
          <w:p w14:paraId="55D1C4DF" w14:textId="77777777" w:rsidR="003131E7" w:rsidRPr="009F0288" w:rsidRDefault="003131E7" w:rsidP="0039796A">
            <w:pPr>
              <w:spacing w:before="120" w:after="120"/>
              <w:rPr>
                <w:rFonts w:eastAsia="Arial Unicode MS"/>
                <w:sz w:val="18"/>
                <w:szCs w:val="18"/>
                <w:lang w:val="fr-FR"/>
              </w:rPr>
            </w:pPr>
            <w:r w:rsidRPr="009F0288">
              <w:rPr>
                <w:rFonts w:eastAsia="Arial Unicode MS"/>
                <w:sz w:val="18"/>
                <w:szCs w:val="18"/>
                <w:lang w:val="fr-FR"/>
              </w:rPr>
              <w:lastRenderedPageBreak/>
              <w:t xml:space="preserve">Délégation de compétence à consentir au </w:t>
            </w:r>
            <w:r w:rsidRPr="009F0288">
              <w:rPr>
                <w:noProof/>
                <w:sz w:val="18"/>
                <w:szCs w:val="18"/>
                <w:lang w:val="fr-FR"/>
              </w:rPr>
              <w:t>Conseil d’administration</w:t>
            </w:r>
            <w:r w:rsidRPr="009F0288">
              <w:rPr>
                <w:rFonts w:eastAsia="Arial Unicode MS"/>
                <w:sz w:val="18"/>
                <w:szCs w:val="18"/>
                <w:lang w:val="fr-FR"/>
              </w:rPr>
              <w:t xml:space="preserve"> en vue d’augmenter le capital par émission d’actions ordinaires et/ou de toutes valeurs mobilières</w:t>
            </w:r>
            <w:r w:rsidRPr="009F0288">
              <w:rPr>
                <w:noProof/>
                <w:sz w:val="18"/>
                <w:szCs w:val="18"/>
                <w:lang w:val="fr-FR"/>
              </w:rPr>
              <w:t>,</w:t>
            </w:r>
            <w:r w:rsidRPr="009F0288">
              <w:rPr>
                <w:rFonts w:eastAsia="Arial Unicode MS"/>
                <w:sz w:val="18"/>
                <w:szCs w:val="18"/>
                <w:lang w:val="fr-FR"/>
              </w:rPr>
              <w:t xml:space="preserve"> avec suppression du droit préférentiel de souscription </w:t>
            </w:r>
            <w:r w:rsidRPr="009F0288">
              <w:rPr>
                <w:noProof/>
                <w:sz w:val="18"/>
                <w:szCs w:val="18"/>
                <w:lang w:val="fr-FR"/>
              </w:rPr>
              <w:t xml:space="preserve">des actionnaires </w:t>
            </w:r>
            <w:r w:rsidRPr="009F0288">
              <w:rPr>
                <w:rFonts w:eastAsia="Arial Unicode MS"/>
                <w:sz w:val="18"/>
                <w:szCs w:val="18"/>
                <w:lang w:val="fr-FR"/>
              </w:rPr>
              <w:t>et offre au public (en dehors des offres visées au 1° de l’article L. 411-2 du code monétaire et financier)</w:t>
            </w:r>
          </w:p>
          <w:p w14:paraId="6B7A90C0" w14:textId="77777777" w:rsidR="003131E7" w:rsidRPr="009F0288" w:rsidRDefault="003131E7" w:rsidP="0039796A">
            <w:pPr>
              <w:spacing w:before="120" w:after="120"/>
              <w:rPr>
                <w:rFonts w:eastAsia="Arial Unicode MS"/>
                <w:sz w:val="18"/>
                <w:szCs w:val="18"/>
              </w:rPr>
            </w:pPr>
            <w:r w:rsidRPr="009F0288">
              <w:rPr>
                <w:noProof/>
                <w:sz w:val="18"/>
                <w:szCs w:val="18"/>
              </w:rPr>
              <w:t>(7</w:t>
            </w:r>
            <w:r w:rsidRPr="009F0288">
              <w:rPr>
                <w:noProof/>
                <w:sz w:val="18"/>
                <w:szCs w:val="18"/>
                <w:vertAlign w:val="superscript"/>
              </w:rPr>
              <w:t>ème</w:t>
            </w:r>
            <w:r w:rsidRPr="009F0288">
              <w:rPr>
                <w:noProof/>
                <w:sz w:val="18"/>
                <w:szCs w:val="18"/>
              </w:rPr>
              <w:t xml:space="preserve"> résolution AGM 14 mai 2024)</w:t>
            </w:r>
          </w:p>
        </w:tc>
        <w:tc>
          <w:tcPr>
            <w:tcW w:w="621" w:type="pct"/>
            <w:vAlign w:val="center"/>
          </w:tcPr>
          <w:p w14:paraId="58100B9C" w14:textId="77777777" w:rsidR="003131E7" w:rsidRPr="009F0288" w:rsidRDefault="003131E7" w:rsidP="0039796A">
            <w:pPr>
              <w:widowControl w:val="0"/>
              <w:spacing w:before="120" w:after="120"/>
              <w:jc w:val="center"/>
              <w:rPr>
                <w:rFonts w:eastAsia="Arial Unicode MS"/>
                <w:sz w:val="18"/>
                <w:szCs w:val="18"/>
              </w:rPr>
            </w:pPr>
            <w:r w:rsidRPr="009F0288">
              <w:rPr>
                <w:rFonts w:eastAsia="Arial Unicode MS"/>
                <w:sz w:val="18"/>
                <w:szCs w:val="18"/>
              </w:rPr>
              <w:t xml:space="preserve">26 </w:t>
            </w:r>
            <w:proofErr w:type="spellStart"/>
            <w:r w:rsidRPr="009F0288">
              <w:rPr>
                <w:rFonts w:eastAsia="Arial Unicode MS"/>
                <w:sz w:val="18"/>
                <w:szCs w:val="18"/>
              </w:rPr>
              <w:t>mois</w:t>
            </w:r>
            <w:proofErr w:type="spellEnd"/>
          </w:p>
          <w:p w14:paraId="7A9A553B" w14:textId="77777777" w:rsidR="003131E7" w:rsidRPr="009F0288" w:rsidRDefault="003131E7" w:rsidP="0039796A">
            <w:pPr>
              <w:widowControl w:val="0"/>
              <w:spacing w:before="120" w:after="120"/>
              <w:jc w:val="center"/>
              <w:rPr>
                <w:rFonts w:eastAsia="Arial Unicode MS"/>
                <w:sz w:val="18"/>
                <w:szCs w:val="18"/>
              </w:rPr>
            </w:pPr>
          </w:p>
        </w:tc>
        <w:tc>
          <w:tcPr>
            <w:tcW w:w="789" w:type="pct"/>
            <w:vAlign w:val="center"/>
          </w:tcPr>
          <w:p w14:paraId="0DC4B86A"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 xml:space="preserve">1.500.000 €, soit 60% du capital social </w:t>
            </w:r>
          </w:p>
          <w:p w14:paraId="4EE37746"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07639E30" w14:textId="77777777" w:rsidR="003131E7" w:rsidRPr="009F0288" w:rsidRDefault="003131E7" w:rsidP="0039796A">
            <w:pPr>
              <w:widowControl w:val="0"/>
              <w:spacing w:before="120" w:after="120"/>
              <w:rPr>
                <w:w w:val="90"/>
                <w:sz w:val="18"/>
                <w:szCs w:val="18"/>
                <w:lang w:val="fr-FR"/>
              </w:rPr>
            </w:pPr>
            <w:r w:rsidRPr="009F0288">
              <w:rPr>
                <w:w w:val="90"/>
                <w:sz w:val="18"/>
                <w:szCs w:val="18"/>
                <w:lang w:val="fr-FR"/>
              </w:rPr>
              <w:t>Plafonds non indépendants, s’imputant sur le plafond propre aux délégations financières</w:t>
            </w:r>
          </w:p>
          <w:p w14:paraId="13B83E2E" w14:textId="77777777" w:rsidR="003131E7" w:rsidRPr="009F0288" w:rsidRDefault="003131E7" w:rsidP="0039796A">
            <w:pPr>
              <w:widowControl w:val="0"/>
              <w:spacing w:before="120" w:after="120"/>
              <w:rPr>
                <w:w w:val="90"/>
                <w:sz w:val="18"/>
                <w:szCs w:val="18"/>
                <w:lang w:val="fr-FR"/>
              </w:rPr>
            </w:pPr>
          </w:p>
          <w:p w14:paraId="1E361AAB" w14:textId="77777777" w:rsidR="003131E7" w:rsidRPr="009F0288" w:rsidRDefault="003131E7" w:rsidP="0039796A">
            <w:pPr>
              <w:widowControl w:val="0"/>
              <w:spacing w:before="120" w:after="120"/>
              <w:rPr>
                <w:rFonts w:eastAsia="Arial Unicode MS"/>
                <w:sz w:val="18"/>
                <w:szCs w:val="18"/>
                <w:lang w:val="fr-FR"/>
              </w:rPr>
            </w:pPr>
            <w:r w:rsidRPr="009F0288">
              <w:rPr>
                <w:w w:val="90"/>
                <w:sz w:val="18"/>
                <w:szCs w:val="18"/>
                <w:lang w:val="fr-FR"/>
              </w:rPr>
              <w:t>Non utilisable en cas d’offre publique sauf autorisation de l’assemblée</w:t>
            </w:r>
          </w:p>
        </w:tc>
        <w:tc>
          <w:tcPr>
            <w:tcW w:w="1277" w:type="pct"/>
            <w:vAlign w:val="center"/>
          </w:tcPr>
          <w:p w14:paraId="1CA9CF31"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r w:rsidRPr="009F0288">
              <w:rPr>
                <w:w w:val="90"/>
                <w:sz w:val="18"/>
                <w:szCs w:val="18"/>
                <w:lang w:val="fr-FR"/>
              </w:rPr>
              <w:t xml:space="preserve">Moyenne pondérée par les volumes des trois derniers cours cotés précédant le jour de la fixation du prix d’émission, assortie d’une décote éventuelle maximale de 15 %  </w:t>
            </w:r>
          </w:p>
          <w:p w14:paraId="397E3FB3"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p>
          <w:p w14:paraId="3B5E9902"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sz w:val="18"/>
                <w:szCs w:val="18"/>
                <w:lang w:val="fr-FR"/>
              </w:rPr>
            </w:pPr>
            <w:r w:rsidRPr="009F0288">
              <w:rPr>
                <w:noProof/>
                <w:sz w:val="18"/>
                <w:szCs w:val="18"/>
                <w:lang w:val="fr-FR"/>
              </w:rPr>
              <w:t>étant précisé que le prix d’émission des valeurs mobilières donnant accès au capital sera tel que la somme perçue immédiatement par la Société, majorée, le cas échéant, de celle susceptible d’être perçue ultérieurement par elle, soit, pour chaque action émise en conséquence de l’émission de ces valeurs mobilières, au moins égale au prix d’émission défini ci-dessus</w:t>
            </w:r>
          </w:p>
        </w:tc>
        <w:tc>
          <w:tcPr>
            <w:tcW w:w="1283" w:type="pct"/>
          </w:tcPr>
          <w:p w14:paraId="3720B98B"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 xml:space="preserve">1.500.000 €, soit 60% du capital social </w:t>
            </w:r>
          </w:p>
          <w:p w14:paraId="7D7ADED6"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6DC3B3AC" w14:textId="77777777" w:rsidR="003131E7" w:rsidRPr="009F0288" w:rsidRDefault="003131E7" w:rsidP="0039796A">
            <w:pPr>
              <w:widowControl w:val="0"/>
              <w:spacing w:before="120" w:after="120"/>
              <w:rPr>
                <w:w w:val="90"/>
                <w:sz w:val="18"/>
                <w:szCs w:val="18"/>
                <w:lang w:val="fr-FR"/>
              </w:rPr>
            </w:pPr>
            <w:r w:rsidRPr="009F0288">
              <w:rPr>
                <w:w w:val="90"/>
                <w:sz w:val="18"/>
                <w:szCs w:val="18"/>
                <w:lang w:val="fr-FR"/>
              </w:rPr>
              <w:t>Plafonds non indépendants, s’imputant sur le plafond propre aux délégations financières</w:t>
            </w:r>
          </w:p>
          <w:p w14:paraId="07D0B81C" w14:textId="77777777" w:rsidR="003131E7" w:rsidRPr="009F0288" w:rsidRDefault="003131E7" w:rsidP="0039796A">
            <w:pPr>
              <w:widowControl w:val="0"/>
              <w:spacing w:before="120" w:after="120"/>
              <w:rPr>
                <w:w w:val="90"/>
                <w:sz w:val="18"/>
                <w:szCs w:val="18"/>
                <w:lang w:val="fr-FR"/>
              </w:rPr>
            </w:pPr>
          </w:p>
          <w:p w14:paraId="6D33CFED"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r w:rsidRPr="009F0288">
              <w:rPr>
                <w:w w:val="90"/>
                <w:sz w:val="18"/>
                <w:szCs w:val="18"/>
                <w:lang w:val="fr-FR"/>
              </w:rPr>
              <w:t>Non utilisable en cas d’offre publique sauf autorisation de l’assemblée</w:t>
            </w:r>
          </w:p>
        </w:tc>
      </w:tr>
      <w:tr w:rsidR="003131E7" w:rsidRPr="003131E7" w14:paraId="3418AE17" w14:textId="77777777" w:rsidTr="003131E7">
        <w:trPr>
          <w:cantSplit/>
          <w:trHeight w:val="1883"/>
        </w:trPr>
        <w:tc>
          <w:tcPr>
            <w:tcW w:w="1030" w:type="pct"/>
            <w:gridSpan w:val="2"/>
            <w:shd w:val="clear" w:color="auto" w:fill="DBE5F1"/>
            <w:vAlign w:val="center"/>
          </w:tcPr>
          <w:p w14:paraId="1E6EEFAF" w14:textId="77777777" w:rsidR="003131E7" w:rsidRPr="009F0288" w:rsidRDefault="003131E7" w:rsidP="0039796A">
            <w:pPr>
              <w:spacing w:before="120" w:after="120"/>
              <w:rPr>
                <w:noProof/>
                <w:sz w:val="18"/>
                <w:szCs w:val="18"/>
                <w:lang w:val="fr-FR"/>
              </w:rPr>
            </w:pPr>
            <w:r w:rsidRPr="009F0288">
              <w:rPr>
                <w:rFonts w:eastAsia="Arial Unicode MS"/>
                <w:sz w:val="18"/>
                <w:szCs w:val="18"/>
                <w:lang w:val="fr-FR"/>
              </w:rPr>
              <w:lastRenderedPageBreak/>
              <w:t xml:space="preserve">Délégation de compétence </w:t>
            </w:r>
            <w:r w:rsidRPr="009F0288">
              <w:rPr>
                <w:noProof/>
                <w:sz w:val="18"/>
                <w:szCs w:val="18"/>
                <w:lang w:val="fr-FR"/>
              </w:rPr>
              <w:t>à consentir</w:t>
            </w:r>
            <w:r w:rsidRPr="009F0288">
              <w:rPr>
                <w:rFonts w:eastAsia="Arial Unicode MS"/>
                <w:sz w:val="18"/>
                <w:szCs w:val="18"/>
                <w:lang w:val="fr-FR"/>
              </w:rPr>
              <w:t xml:space="preserve"> au </w:t>
            </w:r>
            <w:r w:rsidRPr="009F0288">
              <w:rPr>
                <w:noProof/>
                <w:sz w:val="18"/>
                <w:szCs w:val="18"/>
                <w:lang w:val="fr-FR"/>
              </w:rPr>
              <w:t>Conseil d’administration</w:t>
            </w:r>
            <w:r w:rsidRPr="009F0288">
              <w:rPr>
                <w:rFonts w:eastAsia="Arial Unicode MS"/>
                <w:sz w:val="18"/>
                <w:szCs w:val="18"/>
                <w:lang w:val="fr-FR"/>
              </w:rPr>
              <w:t xml:space="preserve"> en vue d’augmenter le capital par émission d’actions ordinaires et/ou de toutes valeurs mobilières, avec suppression du droit préférentiel de souscription </w:t>
            </w:r>
            <w:r w:rsidRPr="009F0288">
              <w:rPr>
                <w:rFonts w:eastAsia="Arial Unicode MS"/>
                <w:sz w:val="18"/>
                <w:szCs w:val="18"/>
                <w:u w:val="single"/>
                <w:lang w:val="fr-FR"/>
              </w:rPr>
              <w:t>des actionnaires</w:t>
            </w:r>
            <w:r w:rsidRPr="009F0288">
              <w:rPr>
                <w:rFonts w:eastAsia="Arial Unicode MS"/>
                <w:sz w:val="18"/>
                <w:szCs w:val="18"/>
                <w:lang w:val="fr-FR"/>
              </w:rPr>
              <w:t xml:space="preserve"> dans le cadre d’une offre</w:t>
            </w:r>
            <w:r w:rsidRPr="009F0288">
              <w:rPr>
                <w:noProof/>
                <w:sz w:val="18"/>
                <w:szCs w:val="18"/>
                <w:lang w:val="fr-FR"/>
              </w:rPr>
              <w:t xml:space="preserve"> visée au  1° de l’article L. 411-2 du code monétaire et financier </w:t>
            </w:r>
          </w:p>
          <w:p w14:paraId="20EDD123" w14:textId="77777777" w:rsidR="003131E7" w:rsidRPr="009F0288" w:rsidRDefault="003131E7" w:rsidP="0039796A">
            <w:pPr>
              <w:spacing w:before="120" w:after="120"/>
              <w:rPr>
                <w:rFonts w:eastAsia="Arial Unicode MS"/>
                <w:sz w:val="18"/>
                <w:szCs w:val="18"/>
              </w:rPr>
            </w:pPr>
            <w:r w:rsidRPr="009F0288">
              <w:rPr>
                <w:noProof/>
                <w:sz w:val="18"/>
                <w:szCs w:val="18"/>
              </w:rPr>
              <w:t>(8</w:t>
            </w:r>
            <w:r w:rsidRPr="009F0288">
              <w:rPr>
                <w:noProof/>
                <w:sz w:val="18"/>
                <w:szCs w:val="18"/>
                <w:vertAlign w:val="superscript"/>
              </w:rPr>
              <w:t>ème</w:t>
            </w:r>
            <w:r w:rsidRPr="009F0288">
              <w:rPr>
                <w:noProof/>
                <w:sz w:val="18"/>
                <w:szCs w:val="18"/>
              </w:rPr>
              <w:t xml:space="preserve"> résolution AGM 14 mai 2024)</w:t>
            </w:r>
          </w:p>
        </w:tc>
        <w:tc>
          <w:tcPr>
            <w:tcW w:w="621" w:type="pct"/>
            <w:vAlign w:val="center"/>
          </w:tcPr>
          <w:p w14:paraId="5E7CE6E8" w14:textId="77777777" w:rsidR="003131E7" w:rsidRPr="009F0288" w:rsidRDefault="003131E7" w:rsidP="0039796A">
            <w:pPr>
              <w:widowControl w:val="0"/>
              <w:spacing w:before="120" w:after="120"/>
              <w:jc w:val="center"/>
              <w:rPr>
                <w:rFonts w:eastAsia="Arial Unicode MS"/>
                <w:sz w:val="18"/>
                <w:szCs w:val="18"/>
              </w:rPr>
            </w:pPr>
            <w:r w:rsidRPr="009F0288">
              <w:rPr>
                <w:rFonts w:eastAsia="Arial Unicode MS"/>
                <w:sz w:val="18"/>
                <w:szCs w:val="18"/>
              </w:rPr>
              <w:t xml:space="preserve">26 </w:t>
            </w:r>
            <w:proofErr w:type="spellStart"/>
            <w:r w:rsidRPr="009F0288">
              <w:rPr>
                <w:rFonts w:eastAsia="Arial Unicode MS"/>
                <w:sz w:val="18"/>
                <w:szCs w:val="18"/>
              </w:rPr>
              <w:t>mois</w:t>
            </w:r>
            <w:proofErr w:type="spellEnd"/>
          </w:p>
          <w:p w14:paraId="78B33F26" w14:textId="77777777" w:rsidR="003131E7" w:rsidRPr="009F0288" w:rsidRDefault="003131E7" w:rsidP="0039796A">
            <w:pPr>
              <w:widowControl w:val="0"/>
              <w:spacing w:before="120" w:after="120"/>
              <w:jc w:val="center"/>
              <w:rPr>
                <w:rFonts w:eastAsia="Arial Unicode MS"/>
                <w:sz w:val="18"/>
                <w:szCs w:val="18"/>
              </w:rPr>
            </w:pPr>
          </w:p>
        </w:tc>
        <w:tc>
          <w:tcPr>
            <w:tcW w:w="789" w:type="pct"/>
            <w:vAlign w:val="center"/>
          </w:tcPr>
          <w:p w14:paraId="0F8A9217" w14:textId="77777777" w:rsidR="003131E7" w:rsidRPr="009F0288" w:rsidRDefault="003131E7" w:rsidP="0039796A">
            <w:pPr>
              <w:widowControl w:val="0"/>
              <w:tabs>
                <w:tab w:val="left" w:pos="0"/>
                <w:tab w:val="left" w:pos="124"/>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1.500.000 € dans la limite de 20 % du capital par an</w:t>
            </w:r>
          </w:p>
          <w:p w14:paraId="52132471" w14:textId="77777777" w:rsidR="003131E7" w:rsidRPr="009F0288" w:rsidRDefault="003131E7" w:rsidP="0039796A">
            <w:pPr>
              <w:widowControl w:val="0"/>
              <w:tabs>
                <w:tab w:val="left" w:pos="0"/>
                <w:tab w:val="left" w:pos="124"/>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4369E3B5" w14:textId="77777777" w:rsidR="003131E7" w:rsidRPr="009F0288" w:rsidRDefault="003131E7" w:rsidP="0039796A">
            <w:pPr>
              <w:widowControl w:val="0"/>
              <w:tabs>
                <w:tab w:val="left" w:pos="0"/>
              </w:tabs>
              <w:spacing w:before="120" w:after="120"/>
              <w:rPr>
                <w:w w:val="90"/>
                <w:sz w:val="18"/>
                <w:szCs w:val="18"/>
                <w:lang w:val="fr-FR"/>
              </w:rPr>
            </w:pPr>
            <w:r w:rsidRPr="009F0288">
              <w:rPr>
                <w:w w:val="90"/>
                <w:sz w:val="18"/>
                <w:szCs w:val="18"/>
                <w:lang w:val="fr-FR"/>
              </w:rPr>
              <w:t>Plafonds non indépendants, s’imputant sur le plafond propre aux délégations financières</w:t>
            </w:r>
          </w:p>
          <w:p w14:paraId="50517CBB" w14:textId="77777777" w:rsidR="003131E7" w:rsidRPr="009F0288" w:rsidRDefault="003131E7" w:rsidP="0039796A">
            <w:pPr>
              <w:widowControl w:val="0"/>
              <w:tabs>
                <w:tab w:val="left" w:pos="0"/>
              </w:tabs>
              <w:spacing w:before="120" w:after="120"/>
              <w:rPr>
                <w:rFonts w:eastAsia="Arial Unicode MS"/>
                <w:w w:val="90"/>
                <w:sz w:val="18"/>
                <w:szCs w:val="18"/>
                <w:lang w:val="fr-FR"/>
              </w:rPr>
            </w:pPr>
          </w:p>
          <w:p w14:paraId="612AF3F0" w14:textId="77777777" w:rsidR="003131E7" w:rsidRPr="009F0288" w:rsidRDefault="003131E7" w:rsidP="0039796A">
            <w:pPr>
              <w:widowControl w:val="0"/>
              <w:tabs>
                <w:tab w:val="left" w:pos="0"/>
              </w:tabs>
              <w:spacing w:before="120" w:after="120"/>
              <w:rPr>
                <w:rFonts w:eastAsia="Arial Unicode MS"/>
                <w:w w:val="90"/>
                <w:sz w:val="18"/>
                <w:szCs w:val="18"/>
                <w:lang w:val="fr-FR"/>
              </w:rPr>
            </w:pPr>
            <w:r w:rsidRPr="009F0288">
              <w:rPr>
                <w:rFonts w:eastAsia="Arial Unicode MS"/>
                <w:w w:val="90"/>
                <w:sz w:val="18"/>
                <w:szCs w:val="18"/>
                <w:lang w:val="fr-FR"/>
              </w:rPr>
              <w:t>Non utilisable en cas d’offre publique sauf autorisation de l’assemblée</w:t>
            </w:r>
          </w:p>
          <w:p w14:paraId="47DD2E81" w14:textId="77777777" w:rsidR="003131E7" w:rsidRPr="009F0288" w:rsidRDefault="003131E7" w:rsidP="0039796A">
            <w:pPr>
              <w:widowControl w:val="0"/>
              <w:tabs>
                <w:tab w:val="left" w:pos="0"/>
              </w:tabs>
              <w:spacing w:before="120" w:after="120"/>
              <w:rPr>
                <w:rFonts w:eastAsia="Arial Unicode MS"/>
                <w:w w:val="90"/>
                <w:sz w:val="18"/>
                <w:szCs w:val="18"/>
                <w:lang w:val="fr-FR"/>
              </w:rPr>
            </w:pPr>
          </w:p>
          <w:p w14:paraId="0B4DEF6C" w14:textId="77777777" w:rsidR="003131E7" w:rsidRPr="009F0288" w:rsidRDefault="003131E7" w:rsidP="0039796A">
            <w:pPr>
              <w:widowControl w:val="0"/>
              <w:tabs>
                <w:tab w:val="left" w:pos="0"/>
              </w:tabs>
              <w:spacing w:before="120" w:after="120"/>
              <w:rPr>
                <w:rFonts w:eastAsia="Arial Unicode MS"/>
                <w:sz w:val="18"/>
                <w:szCs w:val="18"/>
                <w:lang w:val="fr-FR"/>
              </w:rPr>
            </w:pPr>
          </w:p>
        </w:tc>
        <w:tc>
          <w:tcPr>
            <w:tcW w:w="1277" w:type="pct"/>
            <w:vAlign w:val="center"/>
          </w:tcPr>
          <w:p w14:paraId="47E6AC92"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r w:rsidRPr="009F0288">
              <w:rPr>
                <w:w w:val="90"/>
                <w:sz w:val="18"/>
                <w:szCs w:val="18"/>
                <w:lang w:val="fr-FR"/>
              </w:rPr>
              <w:t xml:space="preserve">Moyenne pondérée par les volumes des trois derniers cours cotés précédant le jour de la fixation du prix d’émission, assortie d’une décote éventuelle maximale de 15 %  </w:t>
            </w:r>
          </w:p>
          <w:p w14:paraId="77772890" w14:textId="77777777" w:rsidR="003131E7" w:rsidRPr="009F0288" w:rsidRDefault="003131E7" w:rsidP="0039796A">
            <w:pPr>
              <w:widowControl w:val="0"/>
              <w:tabs>
                <w:tab w:val="left" w:pos="160"/>
              </w:tabs>
              <w:suppressAutoHyphens/>
              <w:autoSpaceDE w:val="0"/>
              <w:autoSpaceDN w:val="0"/>
              <w:adjustRightInd w:val="0"/>
              <w:textAlignment w:val="center"/>
              <w:rPr>
                <w:sz w:val="18"/>
                <w:szCs w:val="18"/>
                <w:lang w:val="fr-FR"/>
              </w:rPr>
            </w:pPr>
            <w:r w:rsidRPr="009F0288">
              <w:rPr>
                <w:w w:val="90"/>
                <w:sz w:val="18"/>
                <w:szCs w:val="18"/>
                <w:lang w:val="fr-FR"/>
              </w:rPr>
              <w:t>étant précisé que (i) dans l’hypothèse de l’émission de valeurs mobilières donnant accès au capital, le prix d’émission des actions susceptibles de résulter de leur exercice, de leur conversion ou de leur échange pourra le cas échéant être fixé, à la discrétion du Conseil d’administration, par référence à une formule de calcul définie par celui-ci et applicable postérieurement à l’émission desdites valeurs mobilières (par exemple lors de leur exercice, conversion ou échange) auquel cas la décote maximale susvisée pourra être appréciée, si le Conseil d’administration le juge opportun, à la date d’application de ladite formule (et non à la date de fixation du prix de l’émission), et (ii) le prix d’émission des valeurs mobilières donnant accès au capital le cas échéant émises en vertu de la présente résolution sera tel que la somme le cas échéant perçue immédiatement par la Société, majorée de celle susceptible d’être perçue par elle lors de l’exercice ou de la conversion desdites valeurs mobilières, soit, pour chaque action émise en conséquence de l’émission de ces valeurs</w:t>
            </w:r>
          </w:p>
        </w:tc>
        <w:tc>
          <w:tcPr>
            <w:tcW w:w="1283" w:type="pct"/>
          </w:tcPr>
          <w:p w14:paraId="315C201D" w14:textId="77777777" w:rsidR="003131E7" w:rsidRPr="009F0288" w:rsidRDefault="003131E7" w:rsidP="0039796A">
            <w:pPr>
              <w:widowControl w:val="0"/>
              <w:tabs>
                <w:tab w:val="left" w:pos="0"/>
                <w:tab w:val="left" w:pos="124"/>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1.500.000 € dans la limite de 20 % du capital par an</w:t>
            </w:r>
          </w:p>
          <w:p w14:paraId="3648BF7E" w14:textId="77777777" w:rsidR="003131E7" w:rsidRPr="009F0288" w:rsidRDefault="003131E7" w:rsidP="0039796A">
            <w:pPr>
              <w:widowControl w:val="0"/>
              <w:tabs>
                <w:tab w:val="left" w:pos="0"/>
                <w:tab w:val="left" w:pos="124"/>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1FE71F24" w14:textId="77777777" w:rsidR="003131E7" w:rsidRPr="009F0288" w:rsidRDefault="003131E7" w:rsidP="0039796A">
            <w:pPr>
              <w:widowControl w:val="0"/>
              <w:tabs>
                <w:tab w:val="left" w:pos="0"/>
              </w:tabs>
              <w:spacing w:before="120" w:after="120"/>
              <w:rPr>
                <w:w w:val="90"/>
                <w:sz w:val="18"/>
                <w:szCs w:val="18"/>
                <w:lang w:val="fr-FR"/>
              </w:rPr>
            </w:pPr>
            <w:r w:rsidRPr="009F0288">
              <w:rPr>
                <w:w w:val="90"/>
                <w:sz w:val="18"/>
                <w:szCs w:val="18"/>
                <w:lang w:val="fr-FR"/>
              </w:rPr>
              <w:t>Plafonds non indépendants, s’imputant sur le plafond propre aux délégations financières</w:t>
            </w:r>
          </w:p>
          <w:p w14:paraId="00A25DCE" w14:textId="77777777" w:rsidR="003131E7" w:rsidRPr="009F0288" w:rsidRDefault="003131E7" w:rsidP="0039796A">
            <w:pPr>
              <w:widowControl w:val="0"/>
              <w:tabs>
                <w:tab w:val="left" w:pos="0"/>
              </w:tabs>
              <w:spacing w:before="120" w:after="120"/>
              <w:rPr>
                <w:rFonts w:eastAsia="Arial Unicode MS"/>
                <w:w w:val="90"/>
                <w:sz w:val="18"/>
                <w:szCs w:val="18"/>
                <w:lang w:val="fr-FR"/>
              </w:rPr>
            </w:pPr>
          </w:p>
          <w:p w14:paraId="6FF56460" w14:textId="77777777" w:rsidR="003131E7" w:rsidRPr="009F0288" w:rsidRDefault="003131E7" w:rsidP="0039796A">
            <w:pPr>
              <w:widowControl w:val="0"/>
              <w:tabs>
                <w:tab w:val="left" w:pos="0"/>
              </w:tabs>
              <w:spacing w:before="120" w:after="120"/>
              <w:rPr>
                <w:w w:val="90"/>
                <w:sz w:val="18"/>
                <w:szCs w:val="18"/>
                <w:lang w:val="fr-FR"/>
              </w:rPr>
            </w:pPr>
          </w:p>
        </w:tc>
      </w:tr>
      <w:tr w:rsidR="003131E7" w:rsidRPr="003131E7" w14:paraId="46D6BC8C" w14:textId="77777777" w:rsidTr="003131E7">
        <w:trPr>
          <w:cantSplit/>
          <w:trHeight w:val="1883"/>
        </w:trPr>
        <w:tc>
          <w:tcPr>
            <w:tcW w:w="1030" w:type="pct"/>
            <w:gridSpan w:val="2"/>
            <w:shd w:val="clear" w:color="auto" w:fill="DBE5F1"/>
            <w:vAlign w:val="center"/>
          </w:tcPr>
          <w:p w14:paraId="31DB6712" w14:textId="77777777" w:rsidR="003131E7" w:rsidRPr="009F0288" w:rsidRDefault="003131E7" w:rsidP="0039796A">
            <w:pPr>
              <w:spacing w:before="120" w:after="120"/>
              <w:rPr>
                <w:rFonts w:eastAsia="Arial Unicode MS"/>
                <w:sz w:val="18"/>
                <w:szCs w:val="18"/>
                <w:lang w:val="fr-FR"/>
              </w:rPr>
            </w:pPr>
            <w:r w:rsidRPr="009F0288">
              <w:rPr>
                <w:rFonts w:eastAsia="Arial Unicode MS"/>
                <w:sz w:val="18"/>
                <w:szCs w:val="18"/>
                <w:lang w:val="fr-FR"/>
              </w:rPr>
              <w:lastRenderedPageBreak/>
              <w:t xml:space="preserve">Délégation de compétence à consentir au Conseil d’administration en vue d’augmenter le capital par émission d’actions ordinaires et/ou de toutes valeurs mobilières, avec suppression du droit préférentiel de souscription des actionnaires au profit d’une catégorie de personnes répondant à des caractéristiques déterminées (émission dans le cadre d’un contrat de financement en fonds propres ou obligataire) </w:t>
            </w:r>
          </w:p>
          <w:p w14:paraId="490DF8A7" w14:textId="77777777" w:rsidR="003131E7" w:rsidRPr="009F0288" w:rsidRDefault="003131E7" w:rsidP="0039796A">
            <w:pPr>
              <w:spacing w:before="120" w:after="120"/>
              <w:rPr>
                <w:rFonts w:eastAsia="Arial Unicode MS"/>
                <w:sz w:val="18"/>
                <w:szCs w:val="18"/>
              </w:rPr>
            </w:pPr>
            <w:r w:rsidRPr="009F0288">
              <w:rPr>
                <w:noProof/>
                <w:sz w:val="18"/>
                <w:szCs w:val="18"/>
              </w:rPr>
              <w:t>(9</w:t>
            </w:r>
            <w:r w:rsidRPr="009F0288">
              <w:rPr>
                <w:noProof/>
                <w:sz w:val="18"/>
                <w:szCs w:val="18"/>
                <w:vertAlign w:val="superscript"/>
              </w:rPr>
              <w:t>ème</w:t>
            </w:r>
            <w:r w:rsidRPr="009F0288">
              <w:rPr>
                <w:noProof/>
                <w:sz w:val="18"/>
                <w:szCs w:val="18"/>
              </w:rPr>
              <w:t xml:space="preserve"> résolution AGM 14 mai 2024)</w:t>
            </w:r>
          </w:p>
        </w:tc>
        <w:tc>
          <w:tcPr>
            <w:tcW w:w="621" w:type="pct"/>
            <w:vAlign w:val="center"/>
          </w:tcPr>
          <w:p w14:paraId="3808F3B6" w14:textId="77777777" w:rsidR="003131E7" w:rsidRPr="009F0288" w:rsidRDefault="003131E7" w:rsidP="0039796A">
            <w:pPr>
              <w:widowControl w:val="0"/>
              <w:spacing w:before="120" w:after="120"/>
              <w:jc w:val="center"/>
              <w:rPr>
                <w:rFonts w:eastAsia="Arial Unicode MS"/>
                <w:sz w:val="18"/>
                <w:szCs w:val="18"/>
              </w:rPr>
            </w:pPr>
            <w:r w:rsidRPr="009F0288">
              <w:rPr>
                <w:rFonts w:eastAsia="Arial Unicode MS"/>
                <w:sz w:val="18"/>
                <w:szCs w:val="18"/>
              </w:rPr>
              <w:t xml:space="preserve">18 </w:t>
            </w:r>
            <w:proofErr w:type="spellStart"/>
            <w:r w:rsidRPr="009F0288">
              <w:rPr>
                <w:rFonts w:eastAsia="Arial Unicode MS"/>
                <w:sz w:val="18"/>
                <w:szCs w:val="18"/>
              </w:rPr>
              <w:t>mois</w:t>
            </w:r>
            <w:proofErr w:type="spellEnd"/>
          </w:p>
          <w:p w14:paraId="4A7A6D2D" w14:textId="77777777" w:rsidR="003131E7" w:rsidRPr="009F0288" w:rsidRDefault="003131E7" w:rsidP="0039796A">
            <w:pPr>
              <w:widowControl w:val="0"/>
              <w:spacing w:before="120" w:after="120"/>
              <w:jc w:val="center"/>
              <w:rPr>
                <w:rFonts w:eastAsia="Arial Unicode MS"/>
                <w:sz w:val="18"/>
                <w:szCs w:val="18"/>
              </w:rPr>
            </w:pPr>
          </w:p>
          <w:p w14:paraId="55BB2BF1" w14:textId="77777777" w:rsidR="003131E7" w:rsidRPr="009F0288" w:rsidRDefault="003131E7" w:rsidP="0039796A">
            <w:pPr>
              <w:widowControl w:val="0"/>
              <w:spacing w:before="120" w:after="120"/>
              <w:jc w:val="center"/>
              <w:rPr>
                <w:rFonts w:eastAsia="Arial Unicode MS"/>
                <w:sz w:val="18"/>
                <w:szCs w:val="18"/>
              </w:rPr>
            </w:pPr>
          </w:p>
        </w:tc>
        <w:tc>
          <w:tcPr>
            <w:tcW w:w="789" w:type="pct"/>
            <w:vAlign w:val="center"/>
          </w:tcPr>
          <w:p w14:paraId="0891992A" w14:textId="77777777" w:rsidR="003131E7" w:rsidRPr="00D3737A" w:rsidRDefault="003131E7" w:rsidP="0039796A">
            <w:pPr>
              <w:widowControl w:val="0"/>
              <w:tabs>
                <w:tab w:val="left" w:pos="160"/>
              </w:tabs>
              <w:suppressAutoHyphens/>
              <w:autoSpaceDE w:val="0"/>
              <w:autoSpaceDN w:val="0"/>
              <w:adjustRightInd w:val="0"/>
              <w:spacing w:after="113" w:line="180" w:lineRule="atLeast"/>
              <w:textAlignment w:val="center"/>
              <w:rPr>
                <w:i/>
                <w:iCs/>
                <w:w w:val="90"/>
                <w:sz w:val="18"/>
                <w:szCs w:val="18"/>
                <w:lang w:val="fr-FR"/>
              </w:rPr>
            </w:pPr>
            <w:r w:rsidRPr="00D3737A">
              <w:rPr>
                <w:i/>
                <w:iCs/>
                <w:w w:val="90"/>
                <w:sz w:val="18"/>
                <w:szCs w:val="18"/>
                <w:lang w:val="fr-FR"/>
              </w:rPr>
              <w:t>Augmentation de capital :</w:t>
            </w:r>
            <w:r w:rsidRPr="00D3737A">
              <w:rPr>
                <w:i/>
                <w:iCs/>
                <w:w w:val="90"/>
                <w:sz w:val="18"/>
                <w:szCs w:val="18"/>
                <w:lang w:val="fr-FR"/>
              </w:rPr>
              <w:br/>
              <w:t>1.500.000 €</w:t>
            </w:r>
          </w:p>
          <w:p w14:paraId="54ADA737" w14:textId="77777777" w:rsidR="003131E7" w:rsidRPr="00D3737A" w:rsidRDefault="003131E7" w:rsidP="0039796A">
            <w:pPr>
              <w:widowControl w:val="0"/>
              <w:tabs>
                <w:tab w:val="left" w:pos="160"/>
              </w:tabs>
              <w:suppressAutoHyphens/>
              <w:autoSpaceDE w:val="0"/>
              <w:autoSpaceDN w:val="0"/>
              <w:adjustRightInd w:val="0"/>
              <w:spacing w:after="113" w:line="180" w:lineRule="atLeast"/>
              <w:textAlignment w:val="center"/>
              <w:rPr>
                <w:i/>
                <w:iCs/>
                <w:w w:val="90"/>
                <w:sz w:val="18"/>
                <w:szCs w:val="18"/>
                <w:lang w:val="fr-FR"/>
              </w:rPr>
            </w:pPr>
            <w:r w:rsidRPr="00D3737A">
              <w:rPr>
                <w:i/>
                <w:iCs/>
                <w:w w:val="90"/>
                <w:sz w:val="18"/>
                <w:szCs w:val="18"/>
                <w:lang w:val="fr-FR"/>
              </w:rPr>
              <w:t>Titres de créances :</w:t>
            </w:r>
            <w:r w:rsidRPr="00D3737A">
              <w:rPr>
                <w:i/>
                <w:iCs/>
                <w:w w:val="90"/>
                <w:sz w:val="18"/>
                <w:szCs w:val="18"/>
                <w:lang w:val="fr-FR"/>
              </w:rPr>
              <w:br/>
              <w:t>50.000.000 €</w:t>
            </w:r>
          </w:p>
          <w:p w14:paraId="24F4C359" w14:textId="77777777" w:rsidR="003131E7" w:rsidRPr="00D3737A" w:rsidRDefault="003131E7" w:rsidP="0039796A">
            <w:pPr>
              <w:widowControl w:val="0"/>
              <w:spacing w:before="120" w:after="120"/>
              <w:rPr>
                <w:i/>
                <w:iCs/>
                <w:w w:val="90"/>
                <w:sz w:val="18"/>
                <w:szCs w:val="18"/>
                <w:lang w:val="fr-FR"/>
              </w:rPr>
            </w:pPr>
            <w:r w:rsidRPr="00D3737A">
              <w:rPr>
                <w:i/>
                <w:iCs/>
                <w:w w:val="90"/>
                <w:sz w:val="18"/>
                <w:szCs w:val="18"/>
                <w:lang w:val="fr-FR"/>
              </w:rPr>
              <w:t>Plafonds non indépendants, s’imputant sur le plafond propre aux délégations financières</w:t>
            </w:r>
          </w:p>
          <w:p w14:paraId="5CF6E30E" w14:textId="77777777" w:rsidR="003131E7" w:rsidRPr="009F0288" w:rsidRDefault="003131E7" w:rsidP="0039796A">
            <w:pPr>
              <w:widowControl w:val="0"/>
              <w:spacing w:before="120" w:after="120"/>
              <w:rPr>
                <w:rFonts w:eastAsia="Arial Unicode MS"/>
                <w:w w:val="90"/>
                <w:sz w:val="18"/>
                <w:szCs w:val="18"/>
                <w:lang w:val="fr-FR"/>
              </w:rPr>
            </w:pPr>
          </w:p>
          <w:p w14:paraId="067172FF" w14:textId="77777777" w:rsidR="003131E7" w:rsidRPr="009F0288" w:rsidRDefault="003131E7" w:rsidP="0039796A">
            <w:pPr>
              <w:widowControl w:val="0"/>
              <w:spacing w:before="120" w:after="120"/>
              <w:rPr>
                <w:rFonts w:eastAsia="Arial Unicode MS"/>
                <w:sz w:val="18"/>
                <w:szCs w:val="18"/>
                <w:lang w:val="fr-FR"/>
              </w:rPr>
            </w:pPr>
            <w:r w:rsidRPr="009F0288">
              <w:rPr>
                <w:rFonts w:eastAsia="Arial Unicode MS"/>
                <w:sz w:val="18"/>
                <w:szCs w:val="18"/>
                <w:lang w:val="fr-FR"/>
              </w:rPr>
              <w:t>Non utilisable en cas d’offre publique sauf autorisation de l’assemblée</w:t>
            </w:r>
          </w:p>
        </w:tc>
        <w:tc>
          <w:tcPr>
            <w:tcW w:w="1277" w:type="pct"/>
            <w:vAlign w:val="center"/>
          </w:tcPr>
          <w:p w14:paraId="49554B1F"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r w:rsidRPr="009F0288">
              <w:rPr>
                <w:w w:val="90"/>
                <w:sz w:val="18"/>
                <w:szCs w:val="18"/>
                <w:lang w:val="fr-FR"/>
              </w:rPr>
              <w:t xml:space="preserve">Moyenne pondérée par les volumes des trois derniers cours cotés précédant le jour de la fixation du prix d’émission, assortie d’une décote éventuelle maximale de 15 %  </w:t>
            </w:r>
          </w:p>
          <w:p w14:paraId="682FBDB9"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sz w:val="18"/>
                <w:szCs w:val="18"/>
                <w:lang w:val="fr-FR"/>
              </w:rPr>
            </w:pPr>
            <w:r w:rsidRPr="009F0288">
              <w:rPr>
                <w:w w:val="90"/>
                <w:sz w:val="18"/>
                <w:szCs w:val="18"/>
                <w:lang w:val="fr-FR"/>
              </w:rPr>
              <w:t>étant précisé que (i) dans l’hypothèse de l’émission de valeurs mobilières donnant accès au capital, le prix d’émission des actions susceptibles de résulter de leur exercice, de leur conversion ou de leur échange pourra le cas échéant être fixé, à la discrétion du Conseil d’administration, par référence à une formule de calcul définie par celui-ci et applicable postérieurement à l’émission desdites valeurs mobilières (par exemple lors de leur exercice, conversion ou échange) auquel cas la décote maximale susvisée pourra être appréciée, si le Conseil d’administration le juge opportun, à la date d’application de ladite formule (et non à la date de fixation du prix de l’émission), et (ii) le prix d’émission des valeurs mobilières donnant accès au capital le cas échéant émises en vertu de la présente résolution sera tel que la somme le cas échéant perçue immédiatement par la Société, majorée de celle susceptible d’être perçue par elle lors de l’exercice ou de la conversion desdites valeurs mobilières, soit, pour chaque action émise en conséquence de l’émission de ces valeurs</w:t>
            </w:r>
          </w:p>
        </w:tc>
        <w:tc>
          <w:tcPr>
            <w:tcW w:w="1283" w:type="pct"/>
          </w:tcPr>
          <w:p w14:paraId="0A8E5DC4"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1.500.000 €</w:t>
            </w:r>
          </w:p>
          <w:p w14:paraId="12AFEFD6" w14:textId="77777777" w:rsidR="003131E7" w:rsidRPr="009F0288" w:rsidRDefault="003131E7" w:rsidP="0039796A">
            <w:pPr>
              <w:widowControl w:val="0"/>
              <w:tabs>
                <w:tab w:val="left" w:pos="160"/>
              </w:tabs>
              <w:suppressAutoHyphens/>
              <w:autoSpaceDE w:val="0"/>
              <w:autoSpaceDN w:val="0"/>
              <w:adjustRightInd w:val="0"/>
              <w:spacing w:after="113" w:line="180" w:lineRule="atLeast"/>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0290B119" w14:textId="77777777" w:rsidR="003131E7" w:rsidRPr="009F0288" w:rsidRDefault="003131E7" w:rsidP="0039796A">
            <w:pPr>
              <w:widowControl w:val="0"/>
              <w:spacing w:before="120" w:after="120"/>
              <w:rPr>
                <w:w w:val="90"/>
                <w:sz w:val="18"/>
                <w:szCs w:val="18"/>
                <w:lang w:val="fr-FR"/>
              </w:rPr>
            </w:pPr>
            <w:r w:rsidRPr="009F0288">
              <w:rPr>
                <w:w w:val="90"/>
                <w:sz w:val="18"/>
                <w:szCs w:val="18"/>
                <w:lang w:val="fr-FR"/>
              </w:rPr>
              <w:t>Plafonds non indépendants, s’imputant sur le plafond propre aux délégations financières</w:t>
            </w:r>
          </w:p>
          <w:p w14:paraId="03E6C315" w14:textId="77777777" w:rsidR="003131E7" w:rsidRPr="009F0288" w:rsidRDefault="003131E7" w:rsidP="0039796A">
            <w:pPr>
              <w:widowControl w:val="0"/>
              <w:tabs>
                <w:tab w:val="left" w:pos="160"/>
              </w:tabs>
              <w:suppressAutoHyphens/>
              <w:autoSpaceDE w:val="0"/>
              <w:autoSpaceDN w:val="0"/>
              <w:adjustRightInd w:val="0"/>
              <w:spacing w:line="180" w:lineRule="atLeast"/>
              <w:textAlignment w:val="center"/>
              <w:rPr>
                <w:w w:val="90"/>
                <w:sz w:val="18"/>
                <w:szCs w:val="18"/>
                <w:lang w:val="fr-FR"/>
              </w:rPr>
            </w:pPr>
          </w:p>
        </w:tc>
      </w:tr>
      <w:tr w:rsidR="003131E7" w:rsidRPr="003131E7" w14:paraId="04712DC3" w14:textId="77777777" w:rsidTr="003131E7">
        <w:trPr>
          <w:cantSplit/>
          <w:trHeight w:val="1883"/>
        </w:trPr>
        <w:tc>
          <w:tcPr>
            <w:tcW w:w="1030" w:type="pct"/>
            <w:gridSpan w:val="2"/>
            <w:shd w:val="clear" w:color="auto" w:fill="DBE5F1"/>
            <w:vAlign w:val="center"/>
          </w:tcPr>
          <w:p w14:paraId="370C0F02" w14:textId="77777777" w:rsidR="003131E7" w:rsidRPr="009F0288" w:rsidRDefault="003131E7" w:rsidP="003131E7">
            <w:pPr>
              <w:spacing w:before="120" w:after="120"/>
              <w:jc w:val="both"/>
              <w:rPr>
                <w:rFonts w:eastAsia="Arial Unicode MS"/>
                <w:sz w:val="18"/>
                <w:szCs w:val="18"/>
                <w:lang w:val="fr-FR"/>
              </w:rPr>
            </w:pPr>
            <w:r w:rsidRPr="009F0288">
              <w:rPr>
                <w:rFonts w:eastAsia="Arial Unicode MS"/>
                <w:sz w:val="18"/>
                <w:szCs w:val="18"/>
                <w:lang w:val="fr-FR"/>
              </w:rPr>
              <w:lastRenderedPageBreak/>
              <w:t>Délégation de compétence à consentir au Conseil d’administration en vue d’augmenter le capital par émission d’actions ordinaires ou de toutes valeurs mobilières donnant accès au capital de la Société, avec suppression du droit préférentiel de souscription des actionnaires au profit d’une catégorie de personnes répondant à des caractéristiques déterminées (investisseurs ayant l’expérience de secteur de la santé ou des biotechnologies)</w:t>
            </w:r>
            <w:r w:rsidRPr="009F0288">
              <w:rPr>
                <w:rFonts w:eastAsia="Arial Unicode MS"/>
                <w:sz w:val="18"/>
                <w:szCs w:val="18"/>
                <w:vertAlign w:val="superscript"/>
                <w:lang w:val="fr-FR"/>
              </w:rPr>
              <w:t>(1)</w:t>
            </w:r>
            <w:r w:rsidRPr="009F0288">
              <w:rPr>
                <w:rFonts w:eastAsia="Arial Unicode MS"/>
                <w:sz w:val="18"/>
                <w:szCs w:val="18"/>
                <w:lang w:val="fr-FR"/>
              </w:rPr>
              <w:t xml:space="preserve"> </w:t>
            </w:r>
          </w:p>
          <w:p w14:paraId="64A88735" w14:textId="77777777" w:rsidR="003131E7" w:rsidRPr="009F0288" w:rsidRDefault="003131E7" w:rsidP="003131E7">
            <w:pPr>
              <w:spacing w:before="120" w:after="120"/>
              <w:jc w:val="both"/>
              <w:rPr>
                <w:rFonts w:eastAsia="Arial Unicode MS"/>
                <w:sz w:val="18"/>
                <w:szCs w:val="18"/>
              </w:rPr>
            </w:pPr>
            <w:r w:rsidRPr="009F0288">
              <w:rPr>
                <w:noProof/>
                <w:sz w:val="18"/>
                <w:szCs w:val="18"/>
              </w:rPr>
              <w:t>(10</w:t>
            </w:r>
            <w:r w:rsidRPr="009F0288">
              <w:rPr>
                <w:noProof/>
                <w:sz w:val="18"/>
                <w:szCs w:val="18"/>
                <w:vertAlign w:val="superscript"/>
              </w:rPr>
              <w:t>ème</w:t>
            </w:r>
            <w:r w:rsidRPr="009F0288">
              <w:rPr>
                <w:noProof/>
                <w:sz w:val="18"/>
                <w:szCs w:val="18"/>
              </w:rPr>
              <w:t xml:space="preserve"> résolution AGM 14 mai 2024)</w:t>
            </w:r>
          </w:p>
        </w:tc>
        <w:tc>
          <w:tcPr>
            <w:tcW w:w="621" w:type="pct"/>
            <w:vAlign w:val="center"/>
          </w:tcPr>
          <w:p w14:paraId="3057E109" w14:textId="77777777" w:rsidR="003131E7" w:rsidRPr="009F0288" w:rsidRDefault="003131E7" w:rsidP="0039796A">
            <w:pPr>
              <w:widowControl w:val="0"/>
              <w:spacing w:before="120" w:after="120"/>
              <w:jc w:val="center"/>
              <w:rPr>
                <w:rFonts w:eastAsia="Arial Unicode MS"/>
                <w:sz w:val="18"/>
                <w:szCs w:val="18"/>
              </w:rPr>
            </w:pPr>
            <w:r w:rsidRPr="009F0288">
              <w:rPr>
                <w:rFonts w:eastAsia="Arial Unicode MS"/>
                <w:sz w:val="18"/>
                <w:szCs w:val="18"/>
              </w:rPr>
              <w:t xml:space="preserve">18 </w:t>
            </w:r>
            <w:proofErr w:type="spellStart"/>
            <w:r w:rsidRPr="009F0288">
              <w:rPr>
                <w:rFonts w:eastAsia="Arial Unicode MS"/>
                <w:sz w:val="18"/>
                <w:szCs w:val="18"/>
              </w:rPr>
              <w:t>mois</w:t>
            </w:r>
            <w:proofErr w:type="spellEnd"/>
          </w:p>
          <w:p w14:paraId="3660D583" w14:textId="77777777" w:rsidR="003131E7" w:rsidRPr="009F0288" w:rsidRDefault="003131E7" w:rsidP="0039796A">
            <w:pPr>
              <w:widowControl w:val="0"/>
              <w:spacing w:before="120" w:after="120"/>
              <w:jc w:val="center"/>
              <w:rPr>
                <w:rFonts w:eastAsia="Arial Unicode MS"/>
                <w:sz w:val="18"/>
                <w:szCs w:val="18"/>
              </w:rPr>
            </w:pPr>
          </w:p>
          <w:p w14:paraId="3BEBC1C1" w14:textId="77777777" w:rsidR="003131E7" w:rsidRPr="009F0288" w:rsidRDefault="003131E7" w:rsidP="0039796A">
            <w:pPr>
              <w:widowControl w:val="0"/>
              <w:spacing w:before="120" w:after="120"/>
              <w:jc w:val="center"/>
              <w:rPr>
                <w:rFonts w:eastAsia="Arial Unicode MS"/>
                <w:sz w:val="18"/>
                <w:szCs w:val="18"/>
              </w:rPr>
            </w:pPr>
          </w:p>
        </w:tc>
        <w:tc>
          <w:tcPr>
            <w:tcW w:w="789" w:type="pct"/>
            <w:vAlign w:val="center"/>
          </w:tcPr>
          <w:p w14:paraId="5E74E7AC" w14:textId="77777777"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1.500.000 €</w:t>
            </w:r>
          </w:p>
          <w:p w14:paraId="45E8942A" w14:textId="77777777"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0688F191" w14:textId="77777777" w:rsidR="003131E7" w:rsidRPr="009F0288" w:rsidRDefault="003131E7" w:rsidP="003131E7">
            <w:pPr>
              <w:widowControl w:val="0"/>
              <w:spacing w:before="120" w:after="120"/>
              <w:jc w:val="both"/>
              <w:rPr>
                <w:w w:val="90"/>
                <w:sz w:val="18"/>
                <w:szCs w:val="18"/>
                <w:lang w:val="fr-FR"/>
              </w:rPr>
            </w:pPr>
            <w:r w:rsidRPr="009F0288">
              <w:rPr>
                <w:w w:val="90"/>
                <w:sz w:val="18"/>
                <w:szCs w:val="18"/>
                <w:lang w:val="fr-FR"/>
              </w:rPr>
              <w:t>Plafonds non indépendants, s’imputant sur le plafond propre aux délégations financières</w:t>
            </w:r>
          </w:p>
          <w:p w14:paraId="4EA80724" w14:textId="77777777" w:rsidR="003131E7" w:rsidRPr="009F0288" w:rsidRDefault="003131E7" w:rsidP="003131E7">
            <w:pPr>
              <w:widowControl w:val="0"/>
              <w:spacing w:before="120" w:after="120"/>
              <w:jc w:val="both"/>
              <w:rPr>
                <w:rFonts w:eastAsia="Arial Unicode MS"/>
                <w:w w:val="90"/>
                <w:sz w:val="18"/>
                <w:szCs w:val="18"/>
                <w:lang w:val="fr-FR"/>
              </w:rPr>
            </w:pPr>
          </w:p>
          <w:p w14:paraId="1F26C426" w14:textId="77777777" w:rsidR="003131E7" w:rsidRPr="009F0288" w:rsidRDefault="003131E7" w:rsidP="003131E7">
            <w:pPr>
              <w:widowControl w:val="0"/>
              <w:spacing w:before="120" w:after="120"/>
              <w:jc w:val="both"/>
              <w:rPr>
                <w:rFonts w:eastAsia="Arial Unicode MS"/>
                <w:sz w:val="18"/>
                <w:szCs w:val="18"/>
                <w:lang w:val="fr-FR"/>
              </w:rPr>
            </w:pPr>
            <w:r w:rsidRPr="009F0288">
              <w:rPr>
                <w:rFonts w:eastAsia="Arial Unicode MS"/>
                <w:sz w:val="18"/>
                <w:szCs w:val="18"/>
                <w:lang w:val="fr-FR"/>
              </w:rPr>
              <w:t>Non utilisable en cas d’offre publique sauf autorisation de l’assemblée</w:t>
            </w:r>
          </w:p>
        </w:tc>
        <w:tc>
          <w:tcPr>
            <w:tcW w:w="1277" w:type="pct"/>
            <w:vAlign w:val="center"/>
          </w:tcPr>
          <w:p w14:paraId="2D3FB801" w14:textId="77777777" w:rsidR="003131E7" w:rsidRPr="009F0288"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r w:rsidRPr="009F0288">
              <w:rPr>
                <w:w w:val="90"/>
                <w:sz w:val="18"/>
                <w:szCs w:val="18"/>
                <w:lang w:val="fr-FR"/>
              </w:rPr>
              <w:t xml:space="preserve">Moyenne pondérée par les volumes des trois derniers cours cotés précédant le jour de la fixation du prix d’émission, assortie d’une décote éventuelle maximale de 15 %  </w:t>
            </w:r>
          </w:p>
          <w:p w14:paraId="0082BBCF" w14:textId="77777777" w:rsidR="003131E7" w:rsidRPr="009F0288" w:rsidRDefault="003131E7" w:rsidP="003131E7">
            <w:pPr>
              <w:widowControl w:val="0"/>
              <w:tabs>
                <w:tab w:val="left" w:pos="160"/>
              </w:tabs>
              <w:suppressAutoHyphens/>
              <w:autoSpaceDE w:val="0"/>
              <w:autoSpaceDN w:val="0"/>
              <w:adjustRightInd w:val="0"/>
              <w:spacing w:line="180" w:lineRule="atLeast"/>
              <w:jc w:val="both"/>
              <w:textAlignment w:val="center"/>
              <w:rPr>
                <w:sz w:val="18"/>
                <w:szCs w:val="18"/>
                <w:lang w:val="fr-FR"/>
              </w:rPr>
            </w:pPr>
            <w:r w:rsidRPr="009F0288">
              <w:rPr>
                <w:w w:val="90"/>
                <w:sz w:val="18"/>
                <w:szCs w:val="18"/>
                <w:lang w:val="fr-FR"/>
              </w:rPr>
              <w:t>étant précisé que (i) dans l’hypothèse de l’émission de valeurs mobilières donnant accès au capital, le prix d’émission des actions susceptibles de résulter de leur exercice, de leur conversion ou de leur échange pourra le cas échéant être fixé, à la discrétion du Conseil d’administration, par référence à une formule de calcul définie par celui-ci et applicable postérieurement à l’émission desdites valeurs mobilières (par exemple lors de leur exercice, conversion ou échange) auquel cas la décote maximale susvisée pourra être appréciée, si le Conseil d’administration le juge opportun, à la date d’application de ladite formule (et non à la date de fixation du prix de l’émission), et (ii) le prix d’émission des valeurs mobilières donnant accès au capital le cas échéant émises en vertu de la présente résolution sera tel que la somme le cas échéant perçue immédiatement par la Société, majorée de celle susceptible d’être perçue par elle lors de l’exercice ou de la conversion desdites valeurs mobilières, soit, pour chaque action émise en conséquence de l’émission de ces valeurs</w:t>
            </w:r>
          </w:p>
        </w:tc>
        <w:tc>
          <w:tcPr>
            <w:tcW w:w="1283" w:type="pct"/>
          </w:tcPr>
          <w:p w14:paraId="326BA594" w14:textId="77777777"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Augmentation de capital :</w:t>
            </w:r>
            <w:r w:rsidRPr="009F0288">
              <w:rPr>
                <w:w w:val="90"/>
                <w:sz w:val="18"/>
                <w:szCs w:val="18"/>
                <w:lang w:val="fr-FR"/>
              </w:rPr>
              <w:br/>
              <w:t>1.500.000 €</w:t>
            </w:r>
          </w:p>
          <w:p w14:paraId="66BBED24" w14:textId="77777777"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Titres de créances :</w:t>
            </w:r>
            <w:r w:rsidRPr="009F0288">
              <w:rPr>
                <w:w w:val="90"/>
                <w:sz w:val="18"/>
                <w:szCs w:val="18"/>
                <w:lang w:val="fr-FR"/>
              </w:rPr>
              <w:br/>
              <w:t>50.000.000 €</w:t>
            </w:r>
          </w:p>
          <w:p w14:paraId="52856345" w14:textId="77777777" w:rsidR="003131E7" w:rsidRPr="009F0288" w:rsidRDefault="003131E7" w:rsidP="003131E7">
            <w:pPr>
              <w:widowControl w:val="0"/>
              <w:spacing w:before="120" w:after="120"/>
              <w:jc w:val="both"/>
              <w:rPr>
                <w:w w:val="90"/>
                <w:sz w:val="18"/>
                <w:szCs w:val="18"/>
                <w:lang w:val="fr-FR"/>
              </w:rPr>
            </w:pPr>
            <w:r w:rsidRPr="009F0288">
              <w:rPr>
                <w:w w:val="90"/>
                <w:sz w:val="18"/>
                <w:szCs w:val="18"/>
                <w:lang w:val="fr-FR"/>
              </w:rPr>
              <w:t>Plafonds non indépendants, s’imputant sur le plafond propre aux délégations financières</w:t>
            </w:r>
          </w:p>
          <w:p w14:paraId="623E207C" w14:textId="77777777" w:rsidR="003131E7" w:rsidRPr="009F0288"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p>
        </w:tc>
      </w:tr>
      <w:tr w:rsidR="003131E7" w:rsidRPr="003131E7" w14:paraId="6ED7FE43" w14:textId="77777777" w:rsidTr="003131E7">
        <w:trPr>
          <w:cantSplit/>
          <w:trHeight w:val="1883"/>
        </w:trPr>
        <w:tc>
          <w:tcPr>
            <w:tcW w:w="1030" w:type="pct"/>
            <w:gridSpan w:val="2"/>
            <w:shd w:val="clear" w:color="auto" w:fill="DBE5F1"/>
            <w:vAlign w:val="center"/>
          </w:tcPr>
          <w:p w14:paraId="04F536DC" w14:textId="77777777" w:rsidR="003131E7" w:rsidRPr="002B6C10" w:rsidRDefault="003131E7" w:rsidP="003131E7">
            <w:pPr>
              <w:spacing w:before="120" w:after="120"/>
              <w:jc w:val="both"/>
              <w:rPr>
                <w:rFonts w:eastAsia="Arial Unicode MS"/>
                <w:sz w:val="18"/>
                <w:szCs w:val="18"/>
                <w:vertAlign w:val="superscript"/>
                <w:lang w:val="fr-FR"/>
              </w:rPr>
            </w:pPr>
            <w:r w:rsidRPr="002B6C10">
              <w:rPr>
                <w:rFonts w:eastAsia="Arial Unicode MS"/>
                <w:sz w:val="18"/>
                <w:szCs w:val="18"/>
                <w:lang w:val="fr-FR"/>
              </w:rPr>
              <w:lastRenderedPageBreak/>
              <w:t xml:space="preserve">Délégation de compétence à consentir au Conseil d’administration en vue d’augmenter le capital par émission d’actions ordinaires ou de toutes valeurs mobilières donnant accès au capital de la Société, avec suppression du droit préférentiel de souscription des actionnaires au profit d’une catégorie de personnes répondant à des caractéristiques déterminées (sociétés industrielles, institutions ou entités actives dans le secteur de la santé ou des biotechnologies) </w:t>
            </w:r>
            <w:r w:rsidRPr="002B6C10">
              <w:rPr>
                <w:rFonts w:eastAsia="Arial Unicode MS"/>
                <w:sz w:val="18"/>
                <w:szCs w:val="18"/>
                <w:vertAlign w:val="superscript"/>
                <w:lang w:val="fr-FR"/>
              </w:rPr>
              <w:t xml:space="preserve">(2) </w:t>
            </w:r>
          </w:p>
          <w:p w14:paraId="4E463F0F" w14:textId="77777777" w:rsidR="003131E7" w:rsidRPr="009F0288" w:rsidRDefault="003131E7" w:rsidP="003131E7">
            <w:pPr>
              <w:spacing w:before="120" w:after="120"/>
              <w:jc w:val="both"/>
              <w:rPr>
                <w:rFonts w:eastAsia="Arial Unicode MS"/>
                <w:sz w:val="18"/>
                <w:szCs w:val="18"/>
                <w:lang w:val="fr-FR"/>
              </w:rPr>
            </w:pPr>
            <w:r w:rsidRPr="002B6C10">
              <w:rPr>
                <w:noProof/>
                <w:sz w:val="18"/>
                <w:szCs w:val="18"/>
              </w:rPr>
              <w:t>(11</w:t>
            </w:r>
            <w:r w:rsidRPr="002B6C10">
              <w:rPr>
                <w:noProof/>
                <w:sz w:val="18"/>
                <w:szCs w:val="18"/>
                <w:vertAlign w:val="superscript"/>
              </w:rPr>
              <w:t>ème</w:t>
            </w:r>
            <w:r w:rsidRPr="002B6C10">
              <w:rPr>
                <w:noProof/>
                <w:sz w:val="18"/>
                <w:szCs w:val="18"/>
              </w:rPr>
              <w:t xml:space="preserve"> résolution AGM 14 mai 2024)</w:t>
            </w:r>
          </w:p>
        </w:tc>
        <w:tc>
          <w:tcPr>
            <w:tcW w:w="621" w:type="pct"/>
            <w:vAlign w:val="center"/>
          </w:tcPr>
          <w:p w14:paraId="77EDF192" w14:textId="77777777" w:rsidR="003131E7" w:rsidRPr="002B6C10" w:rsidRDefault="003131E7" w:rsidP="003131E7">
            <w:pPr>
              <w:widowControl w:val="0"/>
              <w:spacing w:before="120" w:after="120"/>
              <w:jc w:val="center"/>
              <w:rPr>
                <w:rFonts w:eastAsia="Arial Unicode MS"/>
                <w:sz w:val="18"/>
                <w:szCs w:val="18"/>
              </w:rPr>
            </w:pPr>
            <w:r w:rsidRPr="002B6C10">
              <w:rPr>
                <w:rFonts w:eastAsia="Arial Unicode MS"/>
                <w:sz w:val="18"/>
                <w:szCs w:val="18"/>
              </w:rPr>
              <w:t xml:space="preserve">18 </w:t>
            </w:r>
            <w:proofErr w:type="spellStart"/>
            <w:r w:rsidRPr="002B6C10">
              <w:rPr>
                <w:rFonts w:eastAsia="Arial Unicode MS"/>
                <w:sz w:val="18"/>
                <w:szCs w:val="18"/>
              </w:rPr>
              <w:t>mois</w:t>
            </w:r>
            <w:proofErr w:type="spellEnd"/>
          </w:p>
          <w:p w14:paraId="7E59670B" w14:textId="77777777" w:rsidR="003131E7" w:rsidRPr="009F0288" w:rsidRDefault="003131E7" w:rsidP="003131E7">
            <w:pPr>
              <w:widowControl w:val="0"/>
              <w:spacing w:before="120" w:after="120"/>
              <w:jc w:val="both"/>
              <w:rPr>
                <w:rFonts w:eastAsia="Arial Unicode MS"/>
                <w:sz w:val="18"/>
                <w:szCs w:val="18"/>
              </w:rPr>
            </w:pPr>
          </w:p>
        </w:tc>
        <w:tc>
          <w:tcPr>
            <w:tcW w:w="789" w:type="pct"/>
            <w:vAlign w:val="center"/>
          </w:tcPr>
          <w:p w14:paraId="46D31EAF" w14:textId="77777777" w:rsidR="003131E7" w:rsidRPr="002B6C10"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w w:val="90"/>
                <w:sz w:val="18"/>
                <w:szCs w:val="18"/>
                <w:lang w:val="fr-FR"/>
              </w:rPr>
              <w:t>Augmentation de capital :</w:t>
            </w:r>
            <w:r w:rsidRPr="002B6C10">
              <w:rPr>
                <w:w w:val="90"/>
                <w:sz w:val="18"/>
                <w:szCs w:val="18"/>
                <w:lang w:val="fr-FR"/>
              </w:rPr>
              <w:br/>
              <w:t>1.500.000 €</w:t>
            </w:r>
          </w:p>
          <w:p w14:paraId="2C4D0BFF" w14:textId="77777777" w:rsidR="003131E7" w:rsidRPr="002B6C10"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w w:val="90"/>
                <w:sz w:val="18"/>
                <w:szCs w:val="18"/>
                <w:lang w:val="fr-FR"/>
              </w:rPr>
              <w:t>Titres de créances :</w:t>
            </w:r>
            <w:r w:rsidRPr="002B6C10">
              <w:rPr>
                <w:w w:val="90"/>
                <w:sz w:val="18"/>
                <w:szCs w:val="18"/>
                <w:lang w:val="fr-FR"/>
              </w:rPr>
              <w:br/>
              <w:t>50.000.000 €</w:t>
            </w:r>
          </w:p>
          <w:p w14:paraId="22D2091C" w14:textId="77777777" w:rsidR="003131E7" w:rsidRPr="002B6C10" w:rsidRDefault="003131E7" w:rsidP="003131E7">
            <w:pPr>
              <w:widowControl w:val="0"/>
              <w:spacing w:before="120" w:after="120"/>
              <w:jc w:val="both"/>
              <w:rPr>
                <w:w w:val="90"/>
                <w:sz w:val="18"/>
                <w:szCs w:val="18"/>
                <w:lang w:val="fr-FR"/>
              </w:rPr>
            </w:pPr>
            <w:r w:rsidRPr="002B6C10">
              <w:rPr>
                <w:w w:val="90"/>
                <w:sz w:val="18"/>
                <w:szCs w:val="18"/>
                <w:lang w:val="fr-FR"/>
              </w:rPr>
              <w:t>Plafonds non indépendants, s’imputant sur le plafond propre aux délégations financières</w:t>
            </w:r>
          </w:p>
          <w:p w14:paraId="6EB437FB" w14:textId="77777777" w:rsidR="003131E7" w:rsidRPr="002B6C10" w:rsidRDefault="003131E7" w:rsidP="003131E7">
            <w:pPr>
              <w:widowControl w:val="0"/>
              <w:spacing w:before="120" w:after="120"/>
              <w:jc w:val="both"/>
              <w:rPr>
                <w:rFonts w:eastAsia="Arial Unicode MS"/>
                <w:w w:val="90"/>
                <w:sz w:val="18"/>
                <w:szCs w:val="18"/>
                <w:lang w:val="fr-FR"/>
              </w:rPr>
            </w:pPr>
          </w:p>
          <w:p w14:paraId="12D49CF6" w14:textId="77777777"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rFonts w:eastAsia="Arial Unicode MS"/>
                <w:sz w:val="18"/>
                <w:szCs w:val="18"/>
                <w:lang w:val="fr-FR"/>
              </w:rPr>
              <w:t>Non utilisable en cas d’offre publique sauf autorisation de l’assemblée</w:t>
            </w:r>
          </w:p>
        </w:tc>
        <w:tc>
          <w:tcPr>
            <w:tcW w:w="1277" w:type="pct"/>
            <w:vAlign w:val="center"/>
          </w:tcPr>
          <w:p w14:paraId="019637C0" w14:textId="77777777" w:rsidR="003131E7" w:rsidRPr="002B6C10"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r w:rsidRPr="002B6C10">
              <w:rPr>
                <w:w w:val="90"/>
                <w:sz w:val="18"/>
                <w:szCs w:val="18"/>
                <w:lang w:val="fr-FR"/>
              </w:rPr>
              <w:t xml:space="preserve">Moyenne pondérée par les volumes des trois derniers cours cotés précédant le jour de la fixation du prix d’émission, assortie d’une décote éventuelle maximale de 15 %  </w:t>
            </w:r>
          </w:p>
          <w:p w14:paraId="7AE584EE" w14:textId="77777777" w:rsidR="003131E7" w:rsidRPr="009F0288"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r w:rsidRPr="002B6C10">
              <w:rPr>
                <w:w w:val="90"/>
                <w:sz w:val="18"/>
                <w:szCs w:val="18"/>
                <w:lang w:val="fr-FR"/>
              </w:rPr>
              <w:t>étant précisé que (i) dans l’hypothèse de l’émission de valeurs mobilières donnant accès au capital, le prix d’émission des actions susceptibles de résulter de leur exercice, de leur conversion ou de leur échange pourra le cas échéant être fixé, à la discrétion du Conseil d’administration, par référence à une formule de calcul définie par celui-ci et applicable postérieurement à l’émission desdites valeurs mobilières (par exemple lors de leur exercice, conversion ou échange) auquel cas la décote maximale susvisée pourra être appréciée, si le Conseil d’administration le juge opportun, à la date d’application de ladite formule (et non à la date de fixation du prix de l’émission), et (ii) le prix d’émission des valeurs mobilières donnant accès au capital le cas échéant émises en vertu de la présente résolution sera tel que la somme le cas échéant perçue immédiatement par la Société, majorée de celle susceptible d’être perçue par elle lors de l’exercice ou de la conversion desdites valeurs mobilières, soit, pour chaque action émise en conséquence de l’émission de ces valeurs</w:t>
            </w:r>
          </w:p>
        </w:tc>
        <w:tc>
          <w:tcPr>
            <w:tcW w:w="1283" w:type="pct"/>
          </w:tcPr>
          <w:p w14:paraId="5229A9E7" w14:textId="183E8F45"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Augmentation de capital :</w:t>
            </w:r>
            <w:r>
              <w:rPr>
                <w:w w:val="90"/>
                <w:sz w:val="18"/>
                <w:szCs w:val="18"/>
                <w:lang w:val="fr-FR"/>
              </w:rPr>
              <w:t xml:space="preserve"> </w:t>
            </w:r>
            <w:r w:rsidRPr="009F0288">
              <w:rPr>
                <w:w w:val="90"/>
                <w:sz w:val="18"/>
                <w:szCs w:val="18"/>
                <w:lang w:val="fr-FR"/>
              </w:rPr>
              <w:t>1.500.000 €</w:t>
            </w:r>
          </w:p>
          <w:p w14:paraId="2367E9A6" w14:textId="4C1FDBF4" w:rsidR="003131E7" w:rsidRPr="009F0288"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9F0288">
              <w:rPr>
                <w:w w:val="90"/>
                <w:sz w:val="18"/>
                <w:szCs w:val="18"/>
                <w:lang w:val="fr-FR"/>
              </w:rPr>
              <w:t>Titres de créances :</w:t>
            </w:r>
            <w:r>
              <w:rPr>
                <w:w w:val="90"/>
                <w:sz w:val="18"/>
                <w:szCs w:val="18"/>
                <w:lang w:val="fr-FR"/>
              </w:rPr>
              <w:t xml:space="preserve"> </w:t>
            </w:r>
            <w:r w:rsidRPr="009F0288">
              <w:rPr>
                <w:w w:val="90"/>
                <w:sz w:val="18"/>
                <w:szCs w:val="18"/>
                <w:lang w:val="fr-FR"/>
              </w:rPr>
              <w:t>50.000.000 €</w:t>
            </w:r>
          </w:p>
          <w:p w14:paraId="647B39E7" w14:textId="77777777" w:rsidR="003131E7" w:rsidRPr="009F0288" w:rsidRDefault="003131E7" w:rsidP="003131E7">
            <w:pPr>
              <w:widowControl w:val="0"/>
              <w:spacing w:before="120" w:after="120"/>
              <w:jc w:val="both"/>
              <w:rPr>
                <w:w w:val="90"/>
                <w:sz w:val="18"/>
                <w:szCs w:val="18"/>
                <w:lang w:val="fr-FR"/>
              </w:rPr>
            </w:pPr>
            <w:r w:rsidRPr="009F0288">
              <w:rPr>
                <w:w w:val="90"/>
                <w:sz w:val="18"/>
                <w:szCs w:val="18"/>
                <w:lang w:val="fr-FR"/>
              </w:rPr>
              <w:t>Plafonds non indépendants, s’imputant sur le plafond propre aux délégations financières</w:t>
            </w:r>
          </w:p>
          <w:p w14:paraId="66694063" w14:textId="77777777" w:rsidR="003131E7" w:rsidRPr="002B6C10"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p>
        </w:tc>
      </w:tr>
      <w:tr w:rsidR="003131E7" w:rsidRPr="003131E7" w14:paraId="1328A6F1" w14:textId="77777777" w:rsidTr="003131E7">
        <w:trPr>
          <w:cantSplit/>
          <w:trHeight w:val="1883"/>
        </w:trPr>
        <w:tc>
          <w:tcPr>
            <w:tcW w:w="1030" w:type="pct"/>
            <w:gridSpan w:val="2"/>
            <w:shd w:val="clear" w:color="auto" w:fill="DBE5F1"/>
            <w:vAlign w:val="center"/>
          </w:tcPr>
          <w:p w14:paraId="6F424A8C" w14:textId="77777777" w:rsidR="003131E7" w:rsidRPr="002B6C10" w:rsidRDefault="003131E7" w:rsidP="003131E7">
            <w:pPr>
              <w:spacing w:before="120" w:after="120"/>
              <w:jc w:val="both"/>
              <w:rPr>
                <w:noProof/>
                <w:sz w:val="18"/>
                <w:szCs w:val="18"/>
                <w:lang w:val="fr-FR"/>
              </w:rPr>
            </w:pPr>
            <w:r w:rsidRPr="002B6C10">
              <w:rPr>
                <w:rFonts w:eastAsia="Arial Unicode MS"/>
                <w:sz w:val="18"/>
                <w:szCs w:val="18"/>
                <w:lang w:val="fr-FR"/>
              </w:rPr>
              <w:t xml:space="preserve">Délégation de compétence à consentir au </w:t>
            </w:r>
            <w:r w:rsidRPr="002B6C10">
              <w:rPr>
                <w:noProof/>
                <w:sz w:val="18"/>
                <w:szCs w:val="18"/>
                <w:lang w:val="fr-FR"/>
              </w:rPr>
              <w:t>Conseil d’administration</w:t>
            </w:r>
            <w:r w:rsidRPr="002B6C10">
              <w:rPr>
                <w:rFonts w:eastAsia="Arial Unicode MS"/>
                <w:sz w:val="18"/>
                <w:szCs w:val="18"/>
                <w:lang w:val="fr-FR"/>
              </w:rPr>
              <w:t xml:space="preserve"> en vue d’augmenter le nombre de titres à émettre en cas d’augmentation de capital avec ou sans droit préférentiel de souscription</w:t>
            </w:r>
            <w:r w:rsidRPr="002B6C10">
              <w:rPr>
                <w:noProof/>
                <w:sz w:val="18"/>
                <w:szCs w:val="18"/>
                <w:lang w:val="fr-FR"/>
              </w:rPr>
              <w:t xml:space="preserve"> réalisée</w:t>
            </w:r>
            <w:r w:rsidRPr="002B6C10">
              <w:rPr>
                <w:rFonts w:eastAsia="Arial Unicode MS"/>
                <w:sz w:val="18"/>
                <w:szCs w:val="18"/>
                <w:lang w:val="fr-FR"/>
              </w:rPr>
              <w:t xml:space="preserve"> en vertu des délégations</w:t>
            </w:r>
            <w:r w:rsidRPr="002B6C10">
              <w:rPr>
                <w:noProof/>
                <w:sz w:val="18"/>
                <w:szCs w:val="18"/>
                <w:lang w:val="fr-FR"/>
              </w:rPr>
              <w:t xml:space="preserve"> susvisées </w:t>
            </w:r>
          </w:p>
          <w:p w14:paraId="5D32C096" w14:textId="77777777" w:rsidR="003131E7" w:rsidRPr="002B6C10" w:rsidRDefault="003131E7" w:rsidP="003131E7">
            <w:pPr>
              <w:spacing w:before="120" w:after="120"/>
              <w:jc w:val="both"/>
              <w:rPr>
                <w:rFonts w:eastAsia="Arial Unicode MS"/>
                <w:sz w:val="18"/>
                <w:szCs w:val="18"/>
                <w:lang w:val="fr-FR"/>
              </w:rPr>
            </w:pPr>
            <w:r w:rsidRPr="002B6C10">
              <w:rPr>
                <w:noProof/>
                <w:sz w:val="18"/>
                <w:szCs w:val="18"/>
              </w:rPr>
              <w:t>(12</w:t>
            </w:r>
            <w:r w:rsidRPr="002B6C10">
              <w:rPr>
                <w:noProof/>
                <w:sz w:val="18"/>
                <w:szCs w:val="18"/>
                <w:vertAlign w:val="superscript"/>
              </w:rPr>
              <w:t>ème</w:t>
            </w:r>
            <w:r w:rsidRPr="002B6C10">
              <w:rPr>
                <w:noProof/>
                <w:sz w:val="18"/>
                <w:szCs w:val="18"/>
              </w:rPr>
              <w:t xml:space="preserve"> résolution AGM 14 mai 2024)</w:t>
            </w:r>
          </w:p>
        </w:tc>
        <w:tc>
          <w:tcPr>
            <w:tcW w:w="621" w:type="pct"/>
            <w:vAlign w:val="center"/>
          </w:tcPr>
          <w:p w14:paraId="7F1331B3" w14:textId="77777777" w:rsidR="003131E7" w:rsidRPr="002B6C10" w:rsidRDefault="003131E7" w:rsidP="003131E7">
            <w:pPr>
              <w:widowControl w:val="0"/>
              <w:spacing w:before="120" w:after="120"/>
              <w:jc w:val="center"/>
              <w:rPr>
                <w:rFonts w:eastAsia="Arial Unicode MS"/>
                <w:sz w:val="18"/>
                <w:szCs w:val="18"/>
              </w:rPr>
            </w:pPr>
            <w:r w:rsidRPr="002B6C10">
              <w:rPr>
                <w:rFonts w:eastAsia="Arial Unicode MS"/>
                <w:sz w:val="18"/>
                <w:szCs w:val="18"/>
              </w:rPr>
              <w:t xml:space="preserve">26 </w:t>
            </w:r>
            <w:proofErr w:type="spellStart"/>
            <w:r w:rsidRPr="002B6C10">
              <w:rPr>
                <w:rFonts w:eastAsia="Arial Unicode MS"/>
                <w:sz w:val="18"/>
                <w:szCs w:val="18"/>
              </w:rPr>
              <w:t>mois</w:t>
            </w:r>
            <w:proofErr w:type="spellEnd"/>
          </w:p>
          <w:p w14:paraId="1E669FDB" w14:textId="77777777" w:rsidR="003131E7" w:rsidRPr="002B6C10" w:rsidRDefault="003131E7" w:rsidP="003131E7">
            <w:pPr>
              <w:widowControl w:val="0"/>
              <w:spacing w:before="120" w:after="120"/>
              <w:jc w:val="both"/>
              <w:rPr>
                <w:rFonts w:eastAsia="Arial Unicode MS"/>
                <w:sz w:val="18"/>
                <w:szCs w:val="18"/>
              </w:rPr>
            </w:pPr>
          </w:p>
        </w:tc>
        <w:tc>
          <w:tcPr>
            <w:tcW w:w="789" w:type="pct"/>
            <w:vAlign w:val="center"/>
          </w:tcPr>
          <w:p w14:paraId="620F69E6" w14:textId="77777777" w:rsidR="003131E7" w:rsidRPr="002B6C10"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w w:val="90"/>
                <w:sz w:val="18"/>
                <w:szCs w:val="18"/>
                <w:lang w:val="fr-FR"/>
              </w:rPr>
              <w:t>15 % de l’émission initiale (ou toute autre fraction fixée par la loi)</w:t>
            </w:r>
          </w:p>
          <w:p w14:paraId="045E987D" w14:textId="77777777" w:rsidR="003131E7" w:rsidRPr="002B6C10"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color w:val="000000"/>
                <w:w w:val="90"/>
                <w:sz w:val="18"/>
                <w:szCs w:val="18"/>
                <w:lang w:val="fr-FR" w:eastAsia="en-US"/>
              </w:rPr>
              <w:t xml:space="preserve">Plafond non indépendant, </w:t>
            </w:r>
            <w:r w:rsidRPr="002B6C10">
              <w:rPr>
                <w:b/>
                <w:bCs/>
                <w:color w:val="000000"/>
                <w:w w:val="90"/>
                <w:sz w:val="18"/>
                <w:szCs w:val="18"/>
                <w:lang w:val="fr-FR" w:eastAsia="en-US"/>
              </w:rPr>
              <w:t>s’imputant sur le plafond propre aux délégations financières</w:t>
            </w:r>
          </w:p>
        </w:tc>
        <w:tc>
          <w:tcPr>
            <w:tcW w:w="1277" w:type="pct"/>
            <w:vAlign w:val="center"/>
          </w:tcPr>
          <w:p w14:paraId="3C0CB785" w14:textId="77777777" w:rsidR="003131E7" w:rsidRPr="002B6C10" w:rsidRDefault="003131E7" w:rsidP="003131E7">
            <w:pPr>
              <w:autoSpaceDE w:val="0"/>
              <w:autoSpaceDN w:val="0"/>
              <w:adjustRightInd w:val="0"/>
              <w:spacing w:before="120" w:after="120"/>
              <w:jc w:val="center"/>
              <w:rPr>
                <w:color w:val="000000"/>
                <w:sz w:val="18"/>
                <w:szCs w:val="18"/>
                <w:lang w:eastAsia="en-US"/>
              </w:rPr>
            </w:pPr>
            <w:proofErr w:type="spellStart"/>
            <w:r w:rsidRPr="002B6C10">
              <w:rPr>
                <w:color w:val="000000"/>
                <w:sz w:val="18"/>
                <w:szCs w:val="18"/>
                <w:lang w:eastAsia="en-US"/>
              </w:rPr>
              <w:t>Même</w:t>
            </w:r>
            <w:proofErr w:type="spellEnd"/>
            <w:r w:rsidRPr="002B6C10">
              <w:rPr>
                <w:color w:val="000000"/>
                <w:sz w:val="18"/>
                <w:szCs w:val="18"/>
                <w:lang w:eastAsia="en-US"/>
              </w:rPr>
              <w:t xml:space="preserve"> prix que </w:t>
            </w:r>
            <w:proofErr w:type="spellStart"/>
            <w:r w:rsidRPr="002B6C10">
              <w:rPr>
                <w:color w:val="000000"/>
                <w:sz w:val="18"/>
                <w:szCs w:val="18"/>
                <w:lang w:eastAsia="en-US"/>
              </w:rPr>
              <w:t>l’émission</w:t>
            </w:r>
            <w:proofErr w:type="spellEnd"/>
            <w:r w:rsidRPr="002B6C10">
              <w:rPr>
                <w:color w:val="000000"/>
                <w:sz w:val="18"/>
                <w:szCs w:val="18"/>
                <w:lang w:eastAsia="en-US"/>
              </w:rPr>
              <w:t xml:space="preserve"> </w:t>
            </w:r>
            <w:proofErr w:type="spellStart"/>
            <w:r w:rsidRPr="002B6C10">
              <w:rPr>
                <w:color w:val="000000"/>
                <w:sz w:val="18"/>
                <w:szCs w:val="18"/>
                <w:lang w:eastAsia="en-US"/>
              </w:rPr>
              <w:t>initiale</w:t>
            </w:r>
            <w:proofErr w:type="spellEnd"/>
          </w:p>
          <w:p w14:paraId="4EE9476D" w14:textId="77777777" w:rsidR="003131E7" w:rsidRPr="002B6C10" w:rsidRDefault="003131E7" w:rsidP="003131E7">
            <w:pPr>
              <w:widowControl w:val="0"/>
              <w:tabs>
                <w:tab w:val="left" w:pos="160"/>
              </w:tabs>
              <w:suppressAutoHyphens/>
              <w:autoSpaceDE w:val="0"/>
              <w:autoSpaceDN w:val="0"/>
              <w:adjustRightInd w:val="0"/>
              <w:spacing w:line="180" w:lineRule="atLeast"/>
              <w:jc w:val="both"/>
              <w:textAlignment w:val="center"/>
              <w:rPr>
                <w:w w:val="90"/>
                <w:sz w:val="18"/>
                <w:szCs w:val="18"/>
                <w:lang w:val="fr-FR"/>
              </w:rPr>
            </w:pPr>
          </w:p>
        </w:tc>
        <w:tc>
          <w:tcPr>
            <w:tcW w:w="1283" w:type="pct"/>
            <w:vAlign w:val="center"/>
          </w:tcPr>
          <w:p w14:paraId="6665FFD4" w14:textId="77777777" w:rsidR="003131E7" w:rsidRPr="002B6C10" w:rsidRDefault="003131E7" w:rsidP="003131E7">
            <w:pPr>
              <w:widowControl w:val="0"/>
              <w:tabs>
                <w:tab w:val="left" w:pos="160"/>
              </w:tabs>
              <w:suppressAutoHyphens/>
              <w:autoSpaceDE w:val="0"/>
              <w:autoSpaceDN w:val="0"/>
              <w:adjustRightInd w:val="0"/>
              <w:spacing w:after="113" w:line="180" w:lineRule="atLeast"/>
              <w:jc w:val="both"/>
              <w:textAlignment w:val="center"/>
              <w:rPr>
                <w:w w:val="90"/>
                <w:sz w:val="18"/>
                <w:szCs w:val="18"/>
                <w:lang w:val="fr-FR"/>
              </w:rPr>
            </w:pPr>
            <w:r w:rsidRPr="002B6C10">
              <w:rPr>
                <w:w w:val="90"/>
                <w:sz w:val="18"/>
                <w:szCs w:val="18"/>
                <w:lang w:val="fr-FR"/>
              </w:rPr>
              <w:t>15 % de l’émission initiale (ou toute autre fraction fixée par la loi)</w:t>
            </w:r>
          </w:p>
          <w:p w14:paraId="7214630C" w14:textId="77777777" w:rsidR="003131E7" w:rsidRPr="00D3737A" w:rsidRDefault="003131E7" w:rsidP="003131E7">
            <w:pPr>
              <w:tabs>
                <w:tab w:val="left" w:pos="331"/>
              </w:tabs>
              <w:autoSpaceDE w:val="0"/>
              <w:autoSpaceDN w:val="0"/>
              <w:adjustRightInd w:val="0"/>
              <w:spacing w:before="120" w:after="120"/>
              <w:jc w:val="both"/>
              <w:rPr>
                <w:color w:val="000000"/>
                <w:sz w:val="18"/>
                <w:szCs w:val="18"/>
                <w:lang w:val="fr-FR" w:eastAsia="en-US"/>
              </w:rPr>
            </w:pPr>
            <w:r w:rsidRPr="002B6C10">
              <w:rPr>
                <w:color w:val="000000"/>
                <w:w w:val="90"/>
                <w:sz w:val="18"/>
                <w:szCs w:val="18"/>
                <w:lang w:val="fr-FR" w:eastAsia="en-US"/>
              </w:rPr>
              <w:t xml:space="preserve">Plafond non indépendant, </w:t>
            </w:r>
            <w:r w:rsidRPr="002B6C10">
              <w:rPr>
                <w:b/>
                <w:bCs/>
                <w:color w:val="000000"/>
                <w:w w:val="90"/>
                <w:sz w:val="18"/>
                <w:szCs w:val="18"/>
                <w:lang w:val="fr-FR" w:eastAsia="en-US"/>
              </w:rPr>
              <w:t>s’imputant sur le plafond propre aux délégations financières</w:t>
            </w:r>
          </w:p>
        </w:tc>
      </w:tr>
      <w:tr w:rsidR="003131E7" w:rsidRPr="00AB6E7A" w14:paraId="55841FBE" w14:textId="77777777" w:rsidTr="003131E7">
        <w:trPr>
          <w:cantSplit/>
          <w:trHeight w:val="599"/>
        </w:trPr>
        <w:tc>
          <w:tcPr>
            <w:tcW w:w="3717" w:type="pct"/>
            <w:gridSpan w:val="5"/>
            <w:shd w:val="clear" w:color="auto" w:fill="DBE5F1"/>
            <w:vAlign w:val="center"/>
          </w:tcPr>
          <w:p w14:paraId="19992E77" w14:textId="77777777" w:rsidR="003131E7" w:rsidRPr="006C61D4" w:rsidRDefault="003131E7" w:rsidP="0039796A">
            <w:pPr>
              <w:keepNext/>
              <w:keepLines/>
              <w:spacing w:before="120" w:after="120"/>
              <w:jc w:val="center"/>
              <w:rPr>
                <w:b/>
                <w:bCs/>
                <w:sz w:val="18"/>
                <w:szCs w:val="18"/>
                <w:lang w:val="fr-FR"/>
              </w:rPr>
            </w:pPr>
            <w:r w:rsidRPr="006C61D4">
              <w:rPr>
                <w:b/>
                <w:bCs/>
                <w:sz w:val="18"/>
                <w:szCs w:val="18"/>
                <w:lang w:val="fr-FR"/>
              </w:rPr>
              <w:lastRenderedPageBreak/>
              <w:t xml:space="preserve">PLAFOND GLOBAL PROPRE AUX OPTIONS /BSA/AGA : 750 000 actions </w:t>
            </w:r>
          </w:p>
          <w:p w14:paraId="24984693" w14:textId="77777777" w:rsidR="003131E7" w:rsidRDefault="003131E7" w:rsidP="0039796A">
            <w:pPr>
              <w:keepNext/>
              <w:keepLines/>
              <w:spacing w:before="120" w:after="120"/>
              <w:jc w:val="center"/>
              <w:rPr>
                <w:sz w:val="18"/>
                <w:szCs w:val="18"/>
                <w:lang w:val="fr-FR"/>
              </w:rPr>
            </w:pPr>
            <w:r w:rsidRPr="00464BC2">
              <w:rPr>
                <w:sz w:val="18"/>
                <w:szCs w:val="18"/>
                <w:lang w:val="fr-FR"/>
              </w:rPr>
              <w:t>Les autorisations relatives aux Options et aux AGA consenties par l’Assemblée Générale Mixte du 9 juin 2022 sont toujours en vigueur et s’imputeront sur ce plafond commun.</w:t>
            </w:r>
          </w:p>
          <w:p w14:paraId="00D849DA" w14:textId="77777777" w:rsidR="003131E7" w:rsidRPr="006C61D4" w:rsidRDefault="003131E7" w:rsidP="0039796A">
            <w:pPr>
              <w:keepNext/>
              <w:keepLines/>
              <w:spacing w:before="120" w:after="120"/>
              <w:jc w:val="center"/>
              <w:rPr>
                <w:sz w:val="18"/>
                <w:szCs w:val="18"/>
                <w:lang w:val="fr-FR"/>
              </w:rPr>
            </w:pPr>
            <w:r w:rsidRPr="006C61D4">
              <w:rPr>
                <w:sz w:val="18"/>
                <w:szCs w:val="18"/>
                <w:lang w:val="fr-FR"/>
              </w:rPr>
              <w:t>(ne s’imputant pas sur le plafond global propre aux délégations en matière financière)</w:t>
            </w:r>
          </w:p>
          <w:p w14:paraId="0495D883" w14:textId="77777777" w:rsidR="003131E7" w:rsidRPr="006C61D4" w:rsidRDefault="003131E7" w:rsidP="0039796A">
            <w:pPr>
              <w:keepNext/>
              <w:keepLines/>
              <w:spacing w:before="120" w:after="120"/>
              <w:jc w:val="center"/>
              <w:rPr>
                <w:b/>
                <w:bCs/>
                <w:sz w:val="18"/>
                <w:szCs w:val="18"/>
                <w:lang w:val="fr-FR"/>
              </w:rPr>
            </w:pPr>
          </w:p>
        </w:tc>
        <w:tc>
          <w:tcPr>
            <w:tcW w:w="1283" w:type="pct"/>
            <w:shd w:val="clear" w:color="auto" w:fill="DBE5F1"/>
          </w:tcPr>
          <w:p w14:paraId="039FC26E" w14:textId="77777777" w:rsidR="003131E7" w:rsidRDefault="003131E7" w:rsidP="0039796A">
            <w:pPr>
              <w:keepNext/>
              <w:keepLines/>
              <w:spacing w:before="120" w:after="120"/>
              <w:jc w:val="center"/>
              <w:rPr>
                <w:b/>
                <w:bCs/>
                <w:sz w:val="18"/>
                <w:szCs w:val="18"/>
                <w:lang w:val="fr-FR"/>
              </w:rPr>
            </w:pPr>
          </w:p>
          <w:p w14:paraId="22F2B4B6" w14:textId="77777777" w:rsidR="003131E7" w:rsidRDefault="003131E7" w:rsidP="0039796A">
            <w:pPr>
              <w:keepNext/>
              <w:keepLines/>
              <w:spacing w:before="120" w:after="120"/>
              <w:jc w:val="center"/>
              <w:rPr>
                <w:b/>
                <w:bCs/>
                <w:sz w:val="18"/>
                <w:szCs w:val="18"/>
                <w:lang w:val="fr-FR"/>
              </w:rPr>
            </w:pPr>
            <w:r>
              <w:rPr>
                <w:b/>
                <w:bCs/>
                <w:sz w:val="18"/>
                <w:szCs w:val="18"/>
                <w:lang w:val="fr-FR"/>
              </w:rPr>
              <w:t>Utilisation en cours de l’exercice 2024</w:t>
            </w:r>
          </w:p>
          <w:p w14:paraId="540B6DE7" w14:textId="77777777" w:rsidR="003131E7" w:rsidRPr="006C61D4" w:rsidRDefault="003131E7" w:rsidP="0039796A">
            <w:pPr>
              <w:keepNext/>
              <w:keepLines/>
              <w:spacing w:before="120" w:after="120"/>
              <w:jc w:val="center"/>
              <w:rPr>
                <w:b/>
                <w:bCs/>
                <w:sz w:val="18"/>
                <w:szCs w:val="18"/>
                <w:lang w:val="fr-FR"/>
              </w:rPr>
            </w:pPr>
            <w:r>
              <w:rPr>
                <w:b/>
                <w:bCs/>
                <w:sz w:val="18"/>
                <w:szCs w:val="18"/>
                <w:lang w:val="fr-FR"/>
              </w:rPr>
              <w:t>Solde disponible : 0</w:t>
            </w:r>
          </w:p>
        </w:tc>
      </w:tr>
      <w:tr w:rsidR="003131E7" w:rsidRPr="003131E7" w14:paraId="5FB412E3" w14:textId="77777777" w:rsidTr="003131E7">
        <w:trPr>
          <w:cantSplit/>
          <w:trHeight w:val="2572"/>
        </w:trPr>
        <w:tc>
          <w:tcPr>
            <w:tcW w:w="1028" w:type="pct"/>
            <w:shd w:val="clear" w:color="auto" w:fill="DBE5F1"/>
            <w:vAlign w:val="center"/>
          </w:tcPr>
          <w:p w14:paraId="48C29A48" w14:textId="77777777" w:rsidR="003131E7" w:rsidRPr="006C61D4" w:rsidRDefault="003131E7" w:rsidP="003131E7">
            <w:pPr>
              <w:widowControl w:val="0"/>
              <w:spacing w:before="120" w:after="120"/>
              <w:jc w:val="both"/>
              <w:rPr>
                <w:iCs/>
                <w:sz w:val="18"/>
                <w:szCs w:val="18"/>
                <w:lang w:val="fr-FR"/>
              </w:rPr>
            </w:pPr>
            <w:r w:rsidRPr="006C61D4">
              <w:rPr>
                <w:sz w:val="18"/>
                <w:szCs w:val="18"/>
                <w:lang w:val="fr-FR"/>
              </w:rPr>
              <w:t xml:space="preserve">Délégation de compétence à consentir au Conseil d’administration à l’effet d’émettre et attribuer des bons de souscription d’actions au profit </w:t>
            </w:r>
            <w:r w:rsidRPr="006C61D4">
              <w:rPr>
                <w:iCs/>
                <w:sz w:val="18"/>
                <w:szCs w:val="18"/>
                <w:lang w:val="fr-FR"/>
              </w:rPr>
              <w:t>(i) de membres et censeurs du Conseil d’administration de la Société en fonction à la date d’attribution des bons n’ayant pas la qualité de salariés ou dirigeants de la Société ou de l’une de ses filiales ou (ii) de personnes liées par un contrat de services ou de consultant à la Société ou à l’une de ses filiales, leurs dirigeants ou associés ou (iii) de membres de tout comité mis en place par le Conseil d’administration ou le Conseil d’administration viendrait à mettre en place n’ayant pas la qualité de salariés ou dirigeants de la Société ou de l’une de ses filiales</w:t>
            </w:r>
          </w:p>
          <w:p w14:paraId="6CA5A953" w14:textId="77777777" w:rsidR="003131E7" w:rsidRPr="00974A4E" w:rsidRDefault="003131E7" w:rsidP="0039796A">
            <w:pPr>
              <w:widowControl w:val="0"/>
              <w:spacing w:before="120" w:after="120"/>
              <w:rPr>
                <w:sz w:val="18"/>
                <w:szCs w:val="18"/>
              </w:rPr>
            </w:pPr>
            <w:r w:rsidRPr="00974A4E">
              <w:rPr>
                <w:noProof/>
                <w:sz w:val="18"/>
                <w:szCs w:val="18"/>
              </w:rPr>
              <w:t>(</w:t>
            </w:r>
            <w:r>
              <w:rPr>
                <w:noProof/>
                <w:sz w:val="18"/>
                <w:szCs w:val="18"/>
              </w:rPr>
              <w:t>14</w:t>
            </w:r>
            <w:r w:rsidRPr="00974A4E">
              <w:rPr>
                <w:noProof/>
                <w:sz w:val="18"/>
                <w:szCs w:val="18"/>
                <w:vertAlign w:val="superscript"/>
              </w:rPr>
              <w:t>ème</w:t>
            </w:r>
            <w:r w:rsidRPr="00974A4E">
              <w:rPr>
                <w:noProof/>
                <w:sz w:val="18"/>
                <w:szCs w:val="18"/>
              </w:rPr>
              <w:t xml:space="preserve"> résolution AGM </w:t>
            </w:r>
            <w:r>
              <w:rPr>
                <w:noProof/>
                <w:sz w:val="18"/>
                <w:szCs w:val="18"/>
              </w:rPr>
              <w:t>14 mai 2024</w:t>
            </w:r>
            <w:r w:rsidRPr="00974A4E">
              <w:rPr>
                <w:noProof/>
                <w:sz w:val="18"/>
                <w:szCs w:val="18"/>
              </w:rPr>
              <w:t>)</w:t>
            </w:r>
          </w:p>
        </w:tc>
        <w:tc>
          <w:tcPr>
            <w:tcW w:w="623" w:type="pct"/>
            <w:gridSpan w:val="2"/>
            <w:vAlign w:val="center"/>
          </w:tcPr>
          <w:p w14:paraId="2A5DC7F2" w14:textId="77777777" w:rsidR="003131E7" w:rsidRPr="00974A4E" w:rsidRDefault="003131E7" w:rsidP="0039796A">
            <w:pPr>
              <w:widowControl w:val="0"/>
              <w:spacing w:before="120" w:after="120"/>
              <w:jc w:val="center"/>
              <w:rPr>
                <w:rFonts w:eastAsia="Arial Unicode MS"/>
                <w:sz w:val="18"/>
                <w:szCs w:val="18"/>
              </w:rPr>
            </w:pPr>
            <w:r w:rsidRPr="00974A4E">
              <w:rPr>
                <w:rFonts w:eastAsia="Arial Unicode MS"/>
                <w:sz w:val="18"/>
                <w:szCs w:val="18"/>
              </w:rPr>
              <w:t xml:space="preserve">18 </w:t>
            </w:r>
            <w:proofErr w:type="spellStart"/>
            <w:r w:rsidRPr="00974A4E">
              <w:rPr>
                <w:rFonts w:eastAsia="Arial Unicode MS"/>
                <w:sz w:val="18"/>
                <w:szCs w:val="18"/>
              </w:rPr>
              <w:t>mois</w:t>
            </w:r>
            <w:proofErr w:type="spellEnd"/>
          </w:p>
        </w:tc>
        <w:tc>
          <w:tcPr>
            <w:tcW w:w="789" w:type="pct"/>
            <w:vAlign w:val="center"/>
          </w:tcPr>
          <w:p w14:paraId="6ACC4CE1" w14:textId="77777777" w:rsidR="003131E7" w:rsidRPr="006C61D4" w:rsidRDefault="003131E7" w:rsidP="0039796A">
            <w:pPr>
              <w:widowControl w:val="0"/>
              <w:spacing w:before="120" w:after="120"/>
              <w:jc w:val="center"/>
              <w:rPr>
                <w:rFonts w:eastAsia="Arial Unicode MS"/>
                <w:sz w:val="18"/>
                <w:szCs w:val="18"/>
                <w:lang w:val="fr-FR"/>
              </w:rPr>
            </w:pPr>
            <w:r w:rsidRPr="006C61D4">
              <w:rPr>
                <w:rFonts w:eastAsia="Arial Unicode MS"/>
                <w:sz w:val="18"/>
                <w:szCs w:val="18"/>
                <w:lang w:val="fr-FR"/>
              </w:rPr>
              <w:t xml:space="preserve">750.000 actions </w:t>
            </w:r>
          </w:p>
          <w:p w14:paraId="3AAE35E5" w14:textId="77777777" w:rsidR="003131E7" w:rsidRPr="006C61D4" w:rsidRDefault="003131E7" w:rsidP="0039796A">
            <w:pPr>
              <w:widowControl w:val="0"/>
              <w:spacing w:before="120" w:after="120"/>
              <w:jc w:val="center"/>
              <w:rPr>
                <w:rFonts w:eastAsia="Arial Unicode MS"/>
                <w:sz w:val="18"/>
                <w:szCs w:val="18"/>
                <w:lang w:val="fr-FR"/>
              </w:rPr>
            </w:pPr>
            <w:r w:rsidRPr="006C61D4">
              <w:rPr>
                <w:rFonts w:eastAsia="Arial Unicode MS"/>
                <w:sz w:val="18"/>
                <w:szCs w:val="18"/>
                <w:lang w:val="fr-FR"/>
              </w:rPr>
              <w:t>S’imputant sur le plafond global propre aux Options/BSA/AGA</w:t>
            </w:r>
          </w:p>
        </w:tc>
        <w:tc>
          <w:tcPr>
            <w:tcW w:w="1277" w:type="pct"/>
            <w:vAlign w:val="center"/>
          </w:tcPr>
          <w:p w14:paraId="48566A3B" w14:textId="77777777" w:rsidR="003131E7" w:rsidRPr="006C61D4" w:rsidRDefault="003131E7" w:rsidP="0039796A">
            <w:pPr>
              <w:spacing w:before="120" w:after="120"/>
              <w:jc w:val="both"/>
              <w:rPr>
                <w:sz w:val="18"/>
                <w:szCs w:val="18"/>
                <w:lang w:val="fr-FR"/>
              </w:rPr>
            </w:pPr>
            <w:r w:rsidRPr="006C61D4">
              <w:rPr>
                <w:w w:val="90"/>
                <w:sz w:val="18"/>
                <w:szCs w:val="18"/>
                <w:lang w:val="fr-FR"/>
              </w:rPr>
              <w:t>Dé</w:t>
            </w:r>
            <w:r w:rsidRPr="006C61D4">
              <w:rPr>
                <w:noProof/>
                <w:sz w:val="18"/>
                <w:szCs w:val="18"/>
                <w:lang w:val="fr-FR"/>
              </w:rPr>
              <w:t>terminé</w:t>
            </w:r>
            <w:r w:rsidRPr="006C61D4">
              <w:rPr>
                <w:sz w:val="18"/>
                <w:lang w:val="fr-FR"/>
              </w:rPr>
              <w:t xml:space="preserve"> par le conseil à la date d’attribution des BSA en fonction des caractéristiques de ce dernier, au besoin avec l’aide d’un expert indépendant, et sera au moins égal à 5 % de la moyenne pondérée par les volumes des cours des trois (3) dernières séances de bourse sur ledit marché ou bourse de valeurs précédant la date d’attribution dudit BSA par le Conseil</w:t>
            </w:r>
          </w:p>
        </w:tc>
        <w:tc>
          <w:tcPr>
            <w:tcW w:w="1283" w:type="pct"/>
          </w:tcPr>
          <w:p w14:paraId="363643AF" w14:textId="77777777" w:rsidR="003131E7" w:rsidRPr="003131E7" w:rsidRDefault="003131E7" w:rsidP="0039796A">
            <w:pPr>
              <w:spacing w:before="120" w:after="120"/>
              <w:jc w:val="both"/>
              <w:rPr>
                <w:w w:val="90"/>
                <w:sz w:val="18"/>
                <w:szCs w:val="18"/>
                <w:lang w:val="fr-FR"/>
              </w:rPr>
            </w:pPr>
          </w:p>
          <w:p w14:paraId="5ACF59C7" w14:textId="77777777" w:rsidR="003131E7" w:rsidRPr="003131E7" w:rsidRDefault="003131E7" w:rsidP="0039796A">
            <w:pPr>
              <w:spacing w:before="120" w:after="120"/>
              <w:jc w:val="both"/>
              <w:rPr>
                <w:w w:val="90"/>
                <w:sz w:val="18"/>
                <w:szCs w:val="18"/>
                <w:lang w:val="fr-FR"/>
              </w:rPr>
            </w:pPr>
            <w:r w:rsidRPr="003131E7">
              <w:rPr>
                <w:w w:val="90"/>
                <w:sz w:val="18"/>
                <w:szCs w:val="18"/>
                <w:lang w:val="fr-FR"/>
              </w:rPr>
              <w:t xml:space="preserve">Emission de </w:t>
            </w:r>
            <w:r w:rsidRPr="003131E7">
              <w:rPr>
                <w:rFonts w:eastAsia="Cambria"/>
                <w:color w:val="000000"/>
                <w:w w:val="90"/>
                <w:sz w:val="18"/>
                <w:szCs w:val="18"/>
                <w:lang w:val="fr-FR" w:eastAsia="en-US"/>
              </w:rPr>
              <w:t>235.000 BSA 2024 décidée par le Conseil d’administration du 18 septembre 2024</w:t>
            </w:r>
          </w:p>
        </w:tc>
      </w:tr>
    </w:tbl>
    <w:p w14:paraId="6F756243" w14:textId="77777777" w:rsidR="003131E7" w:rsidRDefault="003131E7">
      <w:r>
        <w:br w:type="page"/>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878"/>
        <w:gridCol w:w="1744"/>
        <w:gridCol w:w="2209"/>
        <w:gridCol w:w="3576"/>
        <w:gridCol w:w="3573"/>
        <w:gridCol w:w="20"/>
      </w:tblGrid>
      <w:tr w:rsidR="003131E7" w:rsidRPr="003131E7" w14:paraId="788D92A7" w14:textId="77777777" w:rsidTr="003131E7">
        <w:trPr>
          <w:cantSplit/>
          <w:trHeight w:val="596"/>
        </w:trPr>
        <w:tc>
          <w:tcPr>
            <w:tcW w:w="5000" w:type="pct"/>
            <w:gridSpan w:val="6"/>
            <w:shd w:val="clear" w:color="auto" w:fill="DBE5F1"/>
            <w:vAlign w:val="center"/>
          </w:tcPr>
          <w:p w14:paraId="1A458860" w14:textId="3F4905EE" w:rsidR="003131E7" w:rsidRPr="003131E7" w:rsidRDefault="003131E7" w:rsidP="0039796A">
            <w:pPr>
              <w:autoSpaceDE w:val="0"/>
              <w:autoSpaceDN w:val="0"/>
              <w:adjustRightInd w:val="0"/>
              <w:spacing w:before="120" w:after="120"/>
              <w:jc w:val="center"/>
              <w:rPr>
                <w:b/>
                <w:bCs/>
                <w:color w:val="000000"/>
                <w:sz w:val="18"/>
                <w:szCs w:val="18"/>
                <w:lang w:val="fr-FR"/>
              </w:rPr>
            </w:pPr>
            <w:r w:rsidRPr="003131E7">
              <w:rPr>
                <w:b/>
                <w:bCs/>
                <w:color w:val="000000"/>
                <w:sz w:val="18"/>
                <w:szCs w:val="18"/>
                <w:lang w:val="fr-FR"/>
              </w:rPr>
              <w:lastRenderedPageBreak/>
              <w:t>ACHAT PAR LA SOCIETE DE SES PROPRES ACTIONS – REDUCTION DE CAPITAL</w:t>
            </w:r>
          </w:p>
        </w:tc>
      </w:tr>
      <w:tr w:rsidR="003131E7" w:rsidRPr="00AB6E7A" w14:paraId="56DA2BF3" w14:textId="77777777" w:rsidTr="003131E7">
        <w:trPr>
          <w:gridAfter w:val="1"/>
          <w:wAfter w:w="7" w:type="pct"/>
          <w:cantSplit/>
          <w:trHeight w:val="1298"/>
        </w:trPr>
        <w:tc>
          <w:tcPr>
            <w:tcW w:w="1028" w:type="pct"/>
            <w:shd w:val="clear" w:color="auto" w:fill="DBE5F1"/>
            <w:vAlign w:val="center"/>
          </w:tcPr>
          <w:p w14:paraId="6A401151" w14:textId="77777777" w:rsidR="003131E7" w:rsidRPr="006C61D4" w:rsidRDefault="003131E7" w:rsidP="003131E7">
            <w:pPr>
              <w:keepNext/>
              <w:spacing w:before="120" w:after="120"/>
              <w:jc w:val="both"/>
              <w:rPr>
                <w:sz w:val="18"/>
                <w:szCs w:val="18"/>
                <w:lang w:val="fr-FR"/>
              </w:rPr>
            </w:pPr>
            <w:r w:rsidRPr="006C61D4">
              <w:rPr>
                <w:rFonts w:eastAsia="Arial Unicode MS"/>
                <w:sz w:val="18"/>
                <w:szCs w:val="18"/>
                <w:lang w:val="fr-FR"/>
              </w:rPr>
              <w:t xml:space="preserve">Autorisation </w:t>
            </w:r>
            <w:r w:rsidRPr="006C61D4">
              <w:rPr>
                <w:sz w:val="18"/>
                <w:szCs w:val="18"/>
                <w:lang w:val="fr-FR"/>
              </w:rPr>
              <w:t>à donner</w:t>
            </w:r>
            <w:r w:rsidRPr="006C61D4">
              <w:rPr>
                <w:rFonts w:eastAsia="Arial Unicode MS"/>
                <w:sz w:val="18"/>
                <w:szCs w:val="18"/>
                <w:lang w:val="fr-FR"/>
              </w:rPr>
              <w:t xml:space="preserve"> au </w:t>
            </w:r>
            <w:r w:rsidRPr="006C61D4">
              <w:rPr>
                <w:sz w:val="18"/>
                <w:szCs w:val="18"/>
                <w:lang w:val="fr-FR"/>
              </w:rPr>
              <w:t>Conseil d’administration</w:t>
            </w:r>
            <w:r w:rsidRPr="006C61D4">
              <w:rPr>
                <w:rFonts w:eastAsia="Arial Unicode MS"/>
                <w:sz w:val="18"/>
                <w:szCs w:val="18"/>
                <w:lang w:val="fr-FR"/>
              </w:rPr>
              <w:t xml:space="preserve"> en vue de l’achat par la Société de ses propres actions</w:t>
            </w:r>
            <w:r w:rsidRPr="006C61D4">
              <w:rPr>
                <w:sz w:val="18"/>
                <w:szCs w:val="18"/>
                <w:lang w:val="fr-FR"/>
              </w:rPr>
              <w:t xml:space="preserve"> </w:t>
            </w:r>
          </w:p>
          <w:p w14:paraId="36E54BFC" w14:textId="77777777" w:rsidR="003131E7" w:rsidRPr="00974A4E" w:rsidRDefault="003131E7" w:rsidP="003131E7">
            <w:pPr>
              <w:keepNext/>
              <w:spacing w:before="120" w:after="120"/>
              <w:jc w:val="both"/>
              <w:rPr>
                <w:rFonts w:eastAsia="Arial Unicode MS"/>
                <w:sz w:val="18"/>
                <w:szCs w:val="18"/>
              </w:rPr>
            </w:pPr>
            <w:r w:rsidRPr="00974A4E">
              <w:rPr>
                <w:noProof/>
                <w:sz w:val="18"/>
                <w:szCs w:val="18"/>
              </w:rPr>
              <w:t>(</w:t>
            </w:r>
            <w:r>
              <w:rPr>
                <w:noProof/>
                <w:sz w:val="18"/>
                <w:szCs w:val="18"/>
              </w:rPr>
              <w:t>4</w:t>
            </w:r>
            <w:r w:rsidRPr="00974A4E">
              <w:rPr>
                <w:noProof/>
                <w:sz w:val="18"/>
                <w:szCs w:val="18"/>
                <w:vertAlign w:val="superscript"/>
              </w:rPr>
              <w:t>ème</w:t>
            </w:r>
            <w:r w:rsidRPr="00974A4E">
              <w:rPr>
                <w:noProof/>
                <w:sz w:val="18"/>
                <w:szCs w:val="18"/>
              </w:rPr>
              <w:t xml:space="preserve"> résolution AGM </w:t>
            </w:r>
            <w:r>
              <w:rPr>
                <w:noProof/>
                <w:sz w:val="18"/>
                <w:szCs w:val="18"/>
              </w:rPr>
              <w:t>14 mai 2024</w:t>
            </w:r>
            <w:r w:rsidRPr="00974A4E">
              <w:rPr>
                <w:noProof/>
                <w:sz w:val="18"/>
                <w:szCs w:val="18"/>
              </w:rPr>
              <w:t>)</w:t>
            </w:r>
          </w:p>
        </w:tc>
        <w:tc>
          <w:tcPr>
            <w:tcW w:w="623" w:type="pct"/>
            <w:vAlign w:val="center"/>
          </w:tcPr>
          <w:p w14:paraId="15A0CA2E" w14:textId="77777777" w:rsidR="003131E7" w:rsidRPr="00974A4E" w:rsidRDefault="003131E7" w:rsidP="0039796A">
            <w:pPr>
              <w:autoSpaceDE w:val="0"/>
              <w:autoSpaceDN w:val="0"/>
              <w:adjustRightInd w:val="0"/>
              <w:spacing w:before="120" w:after="120"/>
              <w:jc w:val="center"/>
              <w:rPr>
                <w:rFonts w:eastAsia="Arial Unicode MS"/>
                <w:color w:val="000000"/>
                <w:sz w:val="18"/>
                <w:szCs w:val="18"/>
              </w:rPr>
            </w:pPr>
            <w:r w:rsidRPr="00974A4E">
              <w:rPr>
                <w:color w:val="000000"/>
                <w:sz w:val="18"/>
                <w:szCs w:val="18"/>
              </w:rPr>
              <w:t xml:space="preserve">18 </w:t>
            </w:r>
            <w:proofErr w:type="spellStart"/>
            <w:r w:rsidRPr="00974A4E">
              <w:rPr>
                <w:color w:val="000000"/>
                <w:sz w:val="18"/>
                <w:szCs w:val="18"/>
              </w:rPr>
              <w:t>mois</w:t>
            </w:r>
            <w:proofErr w:type="spellEnd"/>
          </w:p>
        </w:tc>
        <w:tc>
          <w:tcPr>
            <w:tcW w:w="789" w:type="pct"/>
            <w:vAlign w:val="center"/>
          </w:tcPr>
          <w:p w14:paraId="54791310" w14:textId="77777777" w:rsidR="003131E7" w:rsidRPr="00974A4E" w:rsidRDefault="003131E7" w:rsidP="0039796A">
            <w:pPr>
              <w:autoSpaceDE w:val="0"/>
              <w:autoSpaceDN w:val="0"/>
              <w:adjustRightInd w:val="0"/>
              <w:spacing w:before="120" w:after="120"/>
              <w:jc w:val="center"/>
              <w:rPr>
                <w:color w:val="000000"/>
                <w:sz w:val="18"/>
                <w:szCs w:val="18"/>
              </w:rPr>
            </w:pPr>
            <w:r w:rsidRPr="00974A4E">
              <w:rPr>
                <w:color w:val="000000"/>
                <w:sz w:val="18"/>
                <w:szCs w:val="18"/>
              </w:rPr>
              <w:t>10% du capital social</w:t>
            </w:r>
          </w:p>
          <w:p w14:paraId="43DD2A2C" w14:textId="77777777" w:rsidR="003131E7" w:rsidRPr="00974A4E" w:rsidRDefault="003131E7" w:rsidP="0039796A">
            <w:pPr>
              <w:autoSpaceDE w:val="0"/>
              <w:autoSpaceDN w:val="0"/>
              <w:adjustRightInd w:val="0"/>
              <w:spacing w:before="120" w:after="120"/>
              <w:jc w:val="center"/>
              <w:rPr>
                <w:rFonts w:eastAsia="Arial Unicode MS"/>
                <w:color w:val="000000"/>
                <w:sz w:val="18"/>
                <w:szCs w:val="18"/>
              </w:rPr>
            </w:pPr>
          </w:p>
        </w:tc>
        <w:tc>
          <w:tcPr>
            <w:tcW w:w="1277" w:type="pct"/>
            <w:vAlign w:val="center"/>
          </w:tcPr>
          <w:p w14:paraId="16A7C044" w14:textId="77777777" w:rsidR="003131E7" w:rsidRPr="006C61D4" w:rsidRDefault="003131E7" w:rsidP="0039796A">
            <w:pPr>
              <w:autoSpaceDE w:val="0"/>
              <w:autoSpaceDN w:val="0"/>
              <w:adjustRightInd w:val="0"/>
              <w:spacing w:before="120" w:after="120"/>
              <w:jc w:val="center"/>
              <w:rPr>
                <w:color w:val="000000"/>
                <w:sz w:val="18"/>
                <w:szCs w:val="18"/>
                <w:highlight w:val="yellow"/>
                <w:lang w:val="fr-FR"/>
              </w:rPr>
            </w:pPr>
            <w:r w:rsidRPr="006C61D4">
              <w:rPr>
                <w:color w:val="000000"/>
                <w:sz w:val="18"/>
                <w:szCs w:val="18"/>
                <w:lang w:val="fr-FR"/>
              </w:rPr>
              <w:t xml:space="preserve">Prix de rachat : 21 euros </w:t>
            </w:r>
            <w:r w:rsidRPr="006C61D4">
              <w:rPr>
                <w:color w:val="000000"/>
                <w:sz w:val="18"/>
                <w:szCs w:val="18"/>
                <w:lang w:val="fr-FR"/>
              </w:rPr>
              <w:br/>
              <w:t xml:space="preserve">Montant affecté : 3.000.000 euros </w:t>
            </w:r>
          </w:p>
          <w:p w14:paraId="3C87A1DB" w14:textId="77777777" w:rsidR="003131E7" w:rsidRPr="006C61D4" w:rsidRDefault="003131E7" w:rsidP="0039796A">
            <w:pPr>
              <w:autoSpaceDE w:val="0"/>
              <w:autoSpaceDN w:val="0"/>
              <w:adjustRightInd w:val="0"/>
              <w:jc w:val="center"/>
              <w:rPr>
                <w:color w:val="000000"/>
                <w:sz w:val="18"/>
                <w:szCs w:val="18"/>
                <w:lang w:val="fr-FR"/>
              </w:rPr>
            </w:pPr>
          </w:p>
          <w:p w14:paraId="3A592E64" w14:textId="77777777" w:rsidR="003131E7" w:rsidRPr="006C61D4" w:rsidRDefault="003131E7" w:rsidP="0039796A">
            <w:pPr>
              <w:autoSpaceDE w:val="0"/>
              <w:autoSpaceDN w:val="0"/>
              <w:adjustRightInd w:val="0"/>
              <w:jc w:val="center"/>
              <w:rPr>
                <w:color w:val="000000"/>
                <w:sz w:val="18"/>
                <w:szCs w:val="18"/>
                <w:lang w:val="fr-FR"/>
              </w:rPr>
            </w:pPr>
          </w:p>
          <w:p w14:paraId="0A559862" w14:textId="77777777" w:rsidR="003131E7" w:rsidRPr="009E2BA8" w:rsidRDefault="003131E7" w:rsidP="0039796A">
            <w:pPr>
              <w:autoSpaceDE w:val="0"/>
              <w:autoSpaceDN w:val="0"/>
              <w:adjustRightInd w:val="0"/>
              <w:jc w:val="center"/>
              <w:rPr>
                <w:color w:val="000000"/>
                <w:sz w:val="18"/>
                <w:szCs w:val="18"/>
                <w:lang w:val="fr-FR"/>
              </w:rPr>
            </w:pPr>
          </w:p>
        </w:tc>
        <w:tc>
          <w:tcPr>
            <w:tcW w:w="1276" w:type="pct"/>
          </w:tcPr>
          <w:p w14:paraId="10C3AA37" w14:textId="77777777" w:rsidR="003131E7" w:rsidRDefault="003131E7" w:rsidP="0039796A">
            <w:pPr>
              <w:autoSpaceDE w:val="0"/>
              <w:autoSpaceDN w:val="0"/>
              <w:adjustRightInd w:val="0"/>
              <w:spacing w:before="120" w:after="120"/>
              <w:jc w:val="center"/>
              <w:rPr>
                <w:color w:val="000000"/>
                <w:sz w:val="18"/>
                <w:szCs w:val="18"/>
                <w:lang w:val="fr-FR"/>
              </w:rPr>
            </w:pPr>
          </w:p>
          <w:p w14:paraId="3D65C5D0" w14:textId="77777777" w:rsidR="003131E7" w:rsidRDefault="003131E7" w:rsidP="0039796A">
            <w:pPr>
              <w:autoSpaceDE w:val="0"/>
              <w:autoSpaceDN w:val="0"/>
              <w:adjustRightInd w:val="0"/>
              <w:spacing w:before="120" w:after="120"/>
              <w:jc w:val="center"/>
              <w:rPr>
                <w:color w:val="000000"/>
                <w:sz w:val="18"/>
                <w:szCs w:val="18"/>
                <w:lang w:val="fr-FR"/>
              </w:rPr>
            </w:pPr>
            <w:r>
              <w:rPr>
                <w:color w:val="000000"/>
                <w:sz w:val="18"/>
                <w:szCs w:val="18"/>
                <w:lang w:val="fr-FR"/>
              </w:rPr>
              <w:t>Utilisée</w:t>
            </w:r>
          </w:p>
          <w:p w14:paraId="0462A17F" w14:textId="2F5E004F" w:rsidR="003131E7" w:rsidRPr="006C61D4" w:rsidRDefault="003131E7" w:rsidP="0039796A">
            <w:pPr>
              <w:autoSpaceDE w:val="0"/>
              <w:autoSpaceDN w:val="0"/>
              <w:adjustRightInd w:val="0"/>
              <w:spacing w:before="120" w:after="120"/>
              <w:jc w:val="center"/>
              <w:rPr>
                <w:color w:val="000000"/>
                <w:sz w:val="18"/>
                <w:szCs w:val="18"/>
                <w:lang w:val="fr-FR"/>
              </w:rPr>
            </w:pPr>
            <w:r>
              <w:rPr>
                <w:color w:val="000000"/>
                <w:sz w:val="18"/>
                <w:szCs w:val="18"/>
                <w:lang w:val="fr-FR"/>
              </w:rPr>
              <w:t>(</w:t>
            </w:r>
            <w:r>
              <w:rPr>
                <w:color w:val="000000"/>
                <w:sz w:val="18"/>
                <w:szCs w:val="18"/>
                <w:lang w:val="fr-FR"/>
              </w:rPr>
              <w:t>c</w:t>
            </w:r>
            <w:r>
              <w:rPr>
                <w:color w:val="000000"/>
                <w:sz w:val="18"/>
                <w:szCs w:val="18"/>
                <w:lang w:val="fr-FR"/>
              </w:rPr>
              <w:t>f</w:t>
            </w:r>
            <w:r>
              <w:rPr>
                <w:color w:val="000000"/>
                <w:sz w:val="18"/>
                <w:szCs w:val="18"/>
                <w:lang w:val="fr-FR"/>
              </w:rPr>
              <w:t>.</w:t>
            </w:r>
            <w:r>
              <w:rPr>
                <w:color w:val="000000"/>
                <w:sz w:val="18"/>
                <w:szCs w:val="18"/>
                <w:lang w:val="fr-FR"/>
              </w:rPr>
              <w:t xml:space="preserve"> </w:t>
            </w:r>
            <w:r>
              <w:rPr>
                <w:color w:val="000000"/>
                <w:sz w:val="18"/>
                <w:szCs w:val="18"/>
                <w:lang w:val="fr-FR"/>
              </w:rPr>
              <w:t>c</w:t>
            </w:r>
            <w:r>
              <w:rPr>
                <w:color w:val="000000"/>
                <w:sz w:val="18"/>
                <w:szCs w:val="18"/>
                <w:lang w:val="fr-FR"/>
              </w:rPr>
              <w:t>hapitre 19)</w:t>
            </w:r>
          </w:p>
        </w:tc>
      </w:tr>
      <w:tr w:rsidR="003131E7" w:rsidRPr="00AB6E7A" w14:paraId="7C912A25" w14:textId="77777777" w:rsidTr="003131E7">
        <w:trPr>
          <w:gridAfter w:val="1"/>
          <w:wAfter w:w="7" w:type="pct"/>
          <w:cantSplit/>
          <w:trHeight w:val="1298"/>
        </w:trPr>
        <w:tc>
          <w:tcPr>
            <w:tcW w:w="1028" w:type="pct"/>
            <w:shd w:val="clear" w:color="auto" w:fill="DBE5F1"/>
            <w:vAlign w:val="center"/>
          </w:tcPr>
          <w:p w14:paraId="0AD4E691" w14:textId="77777777" w:rsidR="003131E7" w:rsidRPr="006C61D4" w:rsidRDefault="003131E7" w:rsidP="003131E7">
            <w:pPr>
              <w:keepNext/>
              <w:spacing w:before="120" w:after="120"/>
              <w:jc w:val="both"/>
              <w:rPr>
                <w:rFonts w:eastAsia="Arial Unicode MS"/>
                <w:sz w:val="18"/>
                <w:szCs w:val="18"/>
                <w:lang w:val="fr-FR"/>
              </w:rPr>
            </w:pPr>
            <w:r w:rsidRPr="006C61D4">
              <w:rPr>
                <w:rFonts w:eastAsia="Arial Unicode MS"/>
                <w:sz w:val="18"/>
                <w:szCs w:val="18"/>
                <w:lang w:val="fr-FR"/>
              </w:rPr>
              <w:t xml:space="preserve">Autorisation </w:t>
            </w:r>
            <w:r w:rsidRPr="006C61D4">
              <w:rPr>
                <w:sz w:val="18"/>
                <w:szCs w:val="18"/>
                <w:lang w:val="fr-FR"/>
              </w:rPr>
              <w:t>à donner</w:t>
            </w:r>
            <w:r w:rsidRPr="006C61D4">
              <w:rPr>
                <w:rFonts w:eastAsia="Arial Unicode MS"/>
                <w:sz w:val="18"/>
                <w:szCs w:val="18"/>
                <w:lang w:val="fr-FR"/>
              </w:rPr>
              <w:t xml:space="preserve"> au </w:t>
            </w:r>
            <w:r w:rsidRPr="006C61D4">
              <w:rPr>
                <w:sz w:val="18"/>
                <w:szCs w:val="18"/>
                <w:lang w:val="fr-FR"/>
              </w:rPr>
              <w:t>Conseil d’administration</w:t>
            </w:r>
            <w:r w:rsidRPr="006C61D4">
              <w:rPr>
                <w:rFonts w:eastAsia="Arial Unicode MS"/>
                <w:sz w:val="18"/>
                <w:szCs w:val="18"/>
                <w:lang w:val="fr-FR"/>
              </w:rPr>
              <w:t xml:space="preserve"> en vue de réduire le capital social par voie d’annulation d’actions dans le cadre de l’autorisation de rachat de ses propres actions </w:t>
            </w:r>
          </w:p>
          <w:p w14:paraId="249E01A0" w14:textId="77777777" w:rsidR="003131E7" w:rsidRPr="00974A4E" w:rsidRDefault="003131E7" w:rsidP="003131E7">
            <w:pPr>
              <w:keepNext/>
              <w:spacing w:before="120" w:after="120"/>
              <w:jc w:val="both"/>
              <w:rPr>
                <w:noProof/>
                <w:sz w:val="18"/>
                <w:szCs w:val="18"/>
              </w:rPr>
            </w:pPr>
            <w:r w:rsidRPr="00974A4E">
              <w:rPr>
                <w:noProof/>
                <w:sz w:val="18"/>
                <w:szCs w:val="18"/>
              </w:rPr>
              <w:t>(</w:t>
            </w:r>
            <w:r>
              <w:rPr>
                <w:noProof/>
                <w:sz w:val="18"/>
                <w:szCs w:val="18"/>
              </w:rPr>
              <w:t>5</w:t>
            </w:r>
            <w:r w:rsidRPr="00974A4E">
              <w:rPr>
                <w:noProof/>
                <w:sz w:val="18"/>
                <w:szCs w:val="18"/>
                <w:vertAlign w:val="superscript"/>
              </w:rPr>
              <w:t>ème</w:t>
            </w:r>
            <w:r w:rsidRPr="00974A4E">
              <w:rPr>
                <w:noProof/>
                <w:sz w:val="18"/>
                <w:szCs w:val="18"/>
              </w:rPr>
              <w:t xml:space="preserve"> résolution AGM </w:t>
            </w:r>
            <w:r>
              <w:rPr>
                <w:noProof/>
                <w:sz w:val="18"/>
                <w:szCs w:val="18"/>
              </w:rPr>
              <w:t>14 mai 2024</w:t>
            </w:r>
            <w:r w:rsidRPr="00974A4E">
              <w:rPr>
                <w:noProof/>
                <w:sz w:val="18"/>
                <w:szCs w:val="18"/>
              </w:rPr>
              <w:t>)</w:t>
            </w:r>
          </w:p>
        </w:tc>
        <w:tc>
          <w:tcPr>
            <w:tcW w:w="623" w:type="pct"/>
            <w:vAlign w:val="center"/>
          </w:tcPr>
          <w:p w14:paraId="5CB10C66" w14:textId="77777777" w:rsidR="003131E7" w:rsidRPr="00974A4E" w:rsidRDefault="003131E7" w:rsidP="0039796A">
            <w:pPr>
              <w:autoSpaceDE w:val="0"/>
              <w:autoSpaceDN w:val="0"/>
              <w:adjustRightInd w:val="0"/>
              <w:spacing w:before="120" w:after="120"/>
              <w:jc w:val="center"/>
              <w:rPr>
                <w:rFonts w:eastAsia="Arial Unicode MS"/>
                <w:color w:val="000000"/>
                <w:sz w:val="18"/>
                <w:szCs w:val="18"/>
              </w:rPr>
            </w:pPr>
            <w:r w:rsidRPr="00974A4E">
              <w:rPr>
                <w:color w:val="000000"/>
                <w:sz w:val="18"/>
                <w:szCs w:val="18"/>
              </w:rPr>
              <w:t xml:space="preserve">18 </w:t>
            </w:r>
            <w:proofErr w:type="spellStart"/>
            <w:r w:rsidRPr="00974A4E">
              <w:rPr>
                <w:color w:val="000000"/>
                <w:sz w:val="18"/>
                <w:szCs w:val="18"/>
              </w:rPr>
              <w:t>mois</w:t>
            </w:r>
            <w:proofErr w:type="spellEnd"/>
          </w:p>
        </w:tc>
        <w:tc>
          <w:tcPr>
            <w:tcW w:w="789" w:type="pct"/>
            <w:vAlign w:val="center"/>
          </w:tcPr>
          <w:p w14:paraId="0F358484" w14:textId="77777777" w:rsidR="003131E7" w:rsidRPr="006C61D4" w:rsidRDefault="003131E7" w:rsidP="0039796A">
            <w:pPr>
              <w:autoSpaceDE w:val="0"/>
              <w:autoSpaceDN w:val="0"/>
              <w:adjustRightInd w:val="0"/>
              <w:spacing w:before="120" w:after="120"/>
              <w:jc w:val="center"/>
              <w:rPr>
                <w:color w:val="000000"/>
                <w:sz w:val="18"/>
                <w:szCs w:val="18"/>
                <w:lang w:val="fr-FR"/>
              </w:rPr>
            </w:pPr>
            <w:r w:rsidRPr="006C61D4">
              <w:rPr>
                <w:color w:val="000000"/>
                <w:sz w:val="18"/>
                <w:szCs w:val="18"/>
                <w:lang w:val="fr-FR"/>
              </w:rPr>
              <w:t>10% du montant du capital social par période de 24 mois</w:t>
            </w:r>
          </w:p>
          <w:p w14:paraId="13297F2B" w14:textId="77777777" w:rsidR="003131E7" w:rsidRPr="006C61D4" w:rsidRDefault="003131E7" w:rsidP="0039796A">
            <w:pPr>
              <w:autoSpaceDE w:val="0"/>
              <w:autoSpaceDN w:val="0"/>
              <w:adjustRightInd w:val="0"/>
              <w:spacing w:before="120" w:after="120"/>
              <w:jc w:val="center"/>
              <w:rPr>
                <w:rFonts w:eastAsia="Arial Unicode MS"/>
                <w:color w:val="000000"/>
                <w:sz w:val="18"/>
                <w:szCs w:val="18"/>
                <w:lang w:val="fr-FR"/>
              </w:rPr>
            </w:pPr>
          </w:p>
        </w:tc>
        <w:tc>
          <w:tcPr>
            <w:tcW w:w="1277" w:type="pct"/>
            <w:vAlign w:val="center"/>
          </w:tcPr>
          <w:p w14:paraId="3A00457A" w14:textId="77777777" w:rsidR="003131E7" w:rsidRPr="006C61D4" w:rsidRDefault="003131E7" w:rsidP="0039796A">
            <w:pPr>
              <w:autoSpaceDE w:val="0"/>
              <w:autoSpaceDN w:val="0"/>
              <w:adjustRightInd w:val="0"/>
              <w:jc w:val="center"/>
              <w:rPr>
                <w:color w:val="000000"/>
                <w:sz w:val="18"/>
                <w:szCs w:val="18"/>
                <w:lang w:val="fr-FR"/>
              </w:rPr>
            </w:pPr>
          </w:p>
          <w:p w14:paraId="37761D48" w14:textId="77777777" w:rsidR="003131E7" w:rsidRPr="006C61D4" w:rsidRDefault="003131E7" w:rsidP="0039796A">
            <w:pPr>
              <w:autoSpaceDE w:val="0"/>
              <w:autoSpaceDN w:val="0"/>
              <w:adjustRightInd w:val="0"/>
              <w:jc w:val="center"/>
              <w:rPr>
                <w:color w:val="000000"/>
                <w:sz w:val="18"/>
                <w:szCs w:val="18"/>
                <w:lang w:val="fr-FR"/>
              </w:rPr>
            </w:pPr>
          </w:p>
          <w:p w14:paraId="494E2354" w14:textId="77777777" w:rsidR="003131E7" w:rsidRPr="006C61D4" w:rsidRDefault="003131E7" w:rsidP="0039796A">
            <w:pPr>
              <w:autoSpaceDE w:val="0"/>
              <w:autoSpaceDN w:val="0"/>
              <w:adjustRightInd w:val="0"/>
              <w:jc w:val="center"/>
              <w:rPr>
                <w:color w:val="000000"/>
                <w:sz w:val="18"/>
                <w:szCs w:val="18"/>
                <w:lang w:val="fr-FR"/>
              </w:rPr>
            </w:pPr>
          </w:p>
          <w:p w14:paraId="55AE34FE" w14:textId="77777777" w:rsidR="003131E7" w:rsidRPr="009E2BA8" w:rsidRDefault="003131E7" w:rsidP="0039796A">
            <w:pPr>
              <w:autoSpaceDE w:val="0"/>
              <w:autoSpaceDN w:val="0"/>
              <w:adjustRightInd w:val="0"/>
              <w:jc w:val="center"/>
              <w:rPr>
                <w:color w:val="000000"/>
                <w:sz w:val="18"/>
                <w:szCs w:val="18"/>
                <w:lang w:val="fr-FR"/>
              </w:rPr>
            </w:pPr>
          </w:p>
        </w:tc>
        <w:tc>
          <w:tcPr>
            <w:tcW w:w="1276" w:type="pct"/>
          </w:tcPr>
          <w:p w14:paraId="1733C832" w14:textId="77777777" w:rsidR="003131E7" w:rsidRDefault="003131E7" w:rsidP="0039796A">
            <w:pPr>
              <w:autoSpaceDE w:val="0"/>
              <w:autoSpaceDN w:val="0"/>
              <w:adjustRightInd w:val="0"/>
              <w:jc w:val="center"/>
              <w:rPr>
                <w:color w:val="000000"/>
                <w:sz w:val="18"/>
                <w:szCs w:val="18"/>
                <w:lang w:val="fr-FR"/>
              </w:rPr>
            </w:pPr>
          </w:p>
          <w:p w14:paraId="3893EA6D" w14:textId="77777777" w:rsidR="003131E7" w:rsidRDefault="003131E7" w:rsidP="0039796A">
            <w:pPr>
              <w:autoSpaceDE w:val="0"/>
              <w:autoSpaceDN w:val="0"/>
              <w:adjustRightInd w:val="0"/>
              <w:jc w:val="center"/>
              <w:rPr>
                <w:color w:val="000000"/>
                <w:sz w:val="18"/>
                <w:szCs w:val="18"/>
                <w:lang w:val="fr-FR"/>
              </w:rPr>
            </w:pPr>
          </w:p>
          <w:p w14:paraId="1D951D49" w14:textId="77777777" w:rsidR="003131E7" w:rsidRPr="006C61D4" w:rsidRDefault="003131E7" w:rsidP="0039796A">
            <w:pPr>
              <w:autoSpaceDE w:val="0"/>
              <w:autoSpaceDN w:val="0"/>
              <w:adjustRightInd w:val="0"/>
              <w:jc w:val="center"/>
              <w:rPr>
                <w:color w:val="000000"/>
                <w:sz w:val="18"/>
                <w:szCs w:val="18"/>
                <w:lang w:val="fr-FR"/>
              </w:rPr>
            </w:pPr>
            <w:r>
              <w:rPr>
                <w:color w:val="000000"/>
                <w:sz w:val="18"/>
                <w:szCs w:val="18"/>
                <w:lang w:val="fr-FR"/>
              </w:rPr>
              <w:t xml:space="preserve">Non utilisée </w:t>
            </w:r>
          </w:p>
        </w:tc>
      </w:tr>
      <w:tr w:rsidR="003131E7" w:rsidRPr="003131E7" w14:paraId="00D66C3F" w14:textId="77777777" w:rsidTr="003131E7">
        <w:trPr>
          <w:gridAfter w:val="1"/>
          <w:wAfter w:w="7" w:type="pct"/>
          <w:cantSplit/>
          <w:trHeight w:val="629"/>
        </w:trPr>
        <w:tc>
          <w:tcPr>
            <w:tcW w:w="4993" w:type="pct"/>
            <w:gridSpan w:val="5"/>
            <w:shd w:val="clear" w:color="auto" w:fill="DBE5F1"/>
            <w:vAlign w:val="center"/>
          </w:tcPr>
          <w:p w14:paraId="680AC939" w14:textId="77777777" w:rsidR="003131E7" w:rsidRPr="00AB6E7A" w:rsidRDefault="003131E7" w:rsidP="0039796A">
            <w:pPr>
              <w:autoSpaceDE w:val="0"/>
              <w:autoSpaceDN w:val="0"/>
              <w:adjustRightInd w:val="0"/>
              <w:jc w:val="center"/>
              <w:rPr>
                <w:b/>
                <w:bCs/>
                <w:sz w:val="18"/>
                <w:szCs w:val="18"/>
                <w:lang w:val="fr-FR"/>
              </w:rPr>
            </w:pPr>
            <w:r w:rsidRPr="00AB6E7A">
              <w:rPr>
                <w:b/>
                <w:bCs/>
                <w:sz w:val="18"/>
                <w:szCs w:val="18"/>
                <w:lang w:val="fr-FR"/>
              </w:rPr>
              <w:t xml:space="preserve">ASSEMBLEE GENERALE MIXTE DU </w:t>
            </w:r>
            <w:r>
              <w:rPr>
                <w:b/>
                <w:bCs/>
                <w:sz w:val="18"/>
                <w:szCs w:val="18"/>
                <w:lang w:val="fr-FR"/>
              </w:rPr>
              <w:t>9 JUIN 2022</w:t>
            </w:r>
          </w:p>
        </w:tc>
      </w:tr>
      <w:tr w:rsidR="003131E7" w:rsidRPr="00AB6E7A" w14:paraId="4C6E12BA" w14:textId="77777777" w:rsidTr="003131E7">
        <w:trPr>
          <w:gridAfter w:val="1"/>
          <w:wAfter w:w="7" w:type="pct"/>
          <w:cantSplit/>
          <w:trHeight w:val="1298"/>
        </w:trPr>
        <w:tc>
          <w:tcPr>
            <w:tcW w:w="3717" w:type="pct"/>
            <w:gridSpan w:val="4"/>
            <w:shd w:val="clear" w:color="auto" w:fill="DBE5F1"/>
            <w:vAlign w:val="center"/>
          </w:tcPr>
          <w:p w14:paraId="3D036CE0" w14:textId="77777777" w:rsidR="003131E7" w:rsidRPr="006C61D4" w:rsidRDefault="003131E7" w:rsidP="0039796A">
            <w:pPr>
              <w:keepNext/>
              <w:keepLines/>
              <w:spacing w:before="120" w:after="120"/>
              <w:jc w:val="center"/>
              <w:rPr>
                <w:b/>
                <w:bCs/>
                <w:sz w:val="18"/>
                <w:szCs w:val="18"/>
                <w:lang w:val="fr-FR"/>
              </w:rPr>
            </w:pPr>
            <w:r w:rsidRPr="006C61D4">
              <w:rPr>
                <w:b/>
                <w:bCs/>
                <w:sz w:val="18"/>
                <w:szCs w:val="18"/>
                <w:lang w:val="fr-FR"/>
              </w:rPr>
              <w:t xml:space="preserve">PLAFOND GLOBAL PROPRE AUX OPTIONS /BSA/AGA : 750 000 actions </w:t>
            </w:r>
          </w:p>
          <w:p w14:paraId="4774ABDC" w14:textId="77777777" w:rsidR="003131E7" w:rsidRPr="006C61D4" w:rsidRDefault="003131E7" w:rsidP="0039796A">
            <w:pPr>
              <w:keepNext/>
              <w:keepLines/>
              <w:spacing w:before="120" w:after="120"/>
              <w:jc w:val="center"/>
              <w:rPr>
                <w:sz w:val="18"/>
                <w:szCs w:val="18"/>
                <w:lang w:val="fr-FR"/>
              </w:rPr>
            </w:pPr>
            <w:r w:rsidRPr="006C61D4">
              <w:rPr>
                <w:sz w:val="18"/>
                <w:szCs w:val="18"/>
                <w:lang w:val="fr-FR"/>
              </w:rPr>
              <w:t>(ne s’imputant pas sur le plafond global propre aux délégations en matière financière)</w:t>
            </w:r>
          </w:p>
          <w:p w14:paraId="61F1FE19" w14:textId="77777777" w:rsidR="003131E7" w:rsidRPr="006C61D4" w:rsidRDefault="003131E7" w:rsidP="0039796A">
            <w:pPr>
              <w:autoSpaceDE w:val="0"/>
              <w:autoSpaceDN w:val="0"/>
              <w:adjustRightInd w:val="0"/>
              <w:jc w:val="center"/>
              <w:rPr>
                <w:color w:val="000000"/>
                <w:sz w:val="18"/>
                <w:szCs w:val="18"/>
                <w:lang w:val="fr-FR"/>
              </w:rPr>
            </w:pPr>
          </w:p>
        </w:tc>
        <w:tc>
          <w:tcPr>
            <w:tcW w:w="1276" w:type="pct"/>
            <w:shd w:val="clear" w:color="auto" w:fill="DBE5F1"/>
          </w:tcPr>
          <w:p w14:paraId="1BADE37F" w14:textId="77777777" w:rsidR="003131E7" w:rsidRDefault="003131E7" w:rsidP="0039796A">
            <w:pPr>
              <w:keepNext/>
              <w:keepLines/>
              <w:spacing w:before="120" w:after="120"/>
              <w:jc w:val="center"/>
              <w:rPr>
                <w:b/>
                <w:bCs/>
                <w:sz w:val="18"/>
                <w:szCs w:val="18"/>
                <w:lang w:val="fr-FR"/>
              </w:rPr>
            </w:pPr>
          </w:p>
          <w:p w14:paraId="78FD2D84" w14:textId="77777777" w:rsidR="003131E7" w:rsidRDefault="003131E7" w:rsidP="0039796A">
            <w:pPr>
              <w:keepNext/>
              <w:keepLines/>
              <w:spacing w:before="120" w:after="120"/>
              <w:jc w:val="center"/>
              <w:rPr>
                <w:b/>
                <w:bCs/>
                <w:sz w:val="18"/>
                <w:szCs w:val="18"/>
                <w:lang w:val="fr-FR"/>
              </w:rPr>
            </w:pPr>
            <w:r>
              <w:rPr>
                <w:b/>
                <w:bCs/>
                <w:sz w:val="18"/>
                <w:szCs w:val="18"/>
                <w:lang w:val="fr-FR"/>
              </w:rPr>
              <w:t>Utilisation en cours de l’exercice 2024</w:t>
            </w:r>
          </w:p>
          <w:p w14:paraId="23C80B81" w14:textId="77777777" w:rsidR="003131E7" w:rsidRPr="006C61D4" w:rsidRDefault="003131E7" w:rsidP="0039796A">
            <w:pPr>
              <w:autoSpaceDE w:val="0"/>
              <w:autoSpaceDN w:val="0"/>
              <w:adjustRightInd w:val="0"/>
              <w:jc w:val="center"/>
              <w:rPr>
                <w:color w:val="000000"/>
                <w:sz w:val="18"/>
                <w:szCs w:val="18"/>
                <w:lang w:val="fr-FR"/>
              </w:rPr>
            </w:pPr>
            <w:r>
              <w:rPr>
                <w:b/>
                <w:bCs/>
                <w:sz w:val="18"/>
                <w:szCs w:val="18"/>
                <w:lang w:val="fr-FR"/>
              </w:rPr>
              <w:t>Solde disponible : 0</w:t>
            </w:r>
          </w:p>
        </w:tc>
      </w:tr>
      <w:tr w:rsidR="003131E7" w:rsidRPr="00AB6E7A" w14:paraId="0A6EBA66" w14:textId="77777777" w:rsidTr="003131E7">
        <w:trPr>
          <w:gridAfter w:val="1"/>
          <w:wAfter w:w="7" w:type="pct"/>
          <w:cantSplit/>
          <w:trHeight w:val="1298"/>
        </w:trPr>
        <w:tc>
          <w:tcPr>
            <w:tcW w:w="1028" w:type="pct"/>
            <w:shd w:val="clear" w:color="auto" w:fill="DBE5F1"/>
            <w:vAlign w:val="center"/>
          </w:tcPr>
          <w:p w14:paraId="35D1529F"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consentir des options de souscription ou d’achat d’actions </w:t>
            </w:r>
          </w:p>
          <w:p w14:paraId="3A5B6A90" w14:textId="77777777" w:rsidR="003131E7" w:rsidRPr="006C61D4" w:rsidRDefault="003131E7" w:rsidP="003131E7">
            <w:pPr>
              <w:keepNext/>
              <w:spacing w:before="120" w:after="120"/>
              <w:jc w:val="both"/>
              <w:rPr>
                <w:rFonts w:eastAsia="Arial Unicode MS"/>
                <w:sz w:val="18"/>
                <w:szCs w:val="18"/>
                <w:lang w:val="fr-FR"/>
              </w:rPr>
            </w:pPr>
            <w:r w:rsidRPr="00C206C8">
              <w:rPr>
                <w:w w:val="90"/>
                <w:sz w:val="18"/>
                <w:szCs w:val="18"/>
                <w:lang w:val="fr-FR"/>
              </w:rPr>
              <w:t>(20</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623" w:type="pct"/>
            <w:vAlign w:val="center"/>
          </w:tcPr>
          <w:p w14:paraId="6013F71E"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consentir des options de souscription ou d’achat d’actions </w:t>
            </w:r>
          </w:p>
          <w:p w14:paraId="78FC2DCF" w14:textId="77777777" w:rsidR="003131E7" w:rsidRPr="00974A4E" w:rsidRDefault="003131E7" w:rsidP="003131E7">
            <w:pPr>
              <w:autoSpaceDE w:val="0"/>
              <w:autoSpaceDN w:val="0"/>
              <w:adjustRightInd w:val="0"/>
              <w:spacing w:before="120" w:after="120"/>
              <w:jc w:val="both"/>
              <w:rPr>
                <w:color w:val="000000"/>
                <w:sz w:val="18"/>
                <w:szCs w:val="18"/>
              </w:rPr>
            </w:pPr>
            <w:r w:rsidRPr="00C206C8">
              <w:rPr>
                <w:w w:val="90"/>
                <w:sz w:val="18"/>
                <w:szCs w:val="18"/>
                <w:lang w:val="fr-FR"/>
              </w:rPr>
              <w:t>(20</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789" w:type="pct"/>
            <w:vAlign w:val="center"/>
          </w:tcPr>
          <w:p w14:paraId="7D765E53"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consentir des options de souscription ou d’achat d’actions </w:t>
            </w:r>
          </w:p>
          <w:p w14:paraId="410D875F" w14:textId="77777777" w:rsidR="003131E7" w:rsidRPr="006C61D4" w:rsidRDefault="003131E7" w:rsidP="003131E7">
            <w:pPr>
              <w:autoSpaceDE w:val="0"/>
              <w:autoSpaceDN w:val="0"/>
              <w:adjustRightInd w:val="0"/>
              <w:spacing w:before="120" w:after="120"/>
              <w:jc w:val="both"/>
              <w:rPr>
                <w:color w:val="000000"/>
                <w:sz w:val="18"/>
                <w:szCs w:val="18"/>
                <w:lang w:val="fr-FR"/>
              </w:rPr>
            </w:pPr>
            <w:r w:rsidRPr="00C206C8">
              <w:rPr>
                <w:w w:val="90"/>
                <w:sz w:val="18"/>
                <w:szCs w:val="18"/>
                <w:lang w:val="fr-FR"/>
              </w:rPr>
              <w:t>(20</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1277" w:type="pct"/>
            <w:vAlign w:val="center"/>
          </w:tcPr>
          <w:p w14:paraId="3F0F0CAC"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consentir des options de souscription ou d’achat d’actions </w:t>
            </w:r>
          </w:p>
          <w:p w14:paraId="3F65EF10" w14:textId="77777777" w:rsidR="003131E7" w:rsidRPr="006C61D4" w:rsidRDefault="003131E7" w:rsidP="003131E7">
            <w:pPr>
              <w:autoSpaceDE w:val="0"/>
              <w:autoSpaceDN w:val="0"/>
              <w:adjustRightInd w:val="0"/>
              <w:jc w:val="both"/>
              <w:rPr>
                <w:color w:val="000000"/>
                <w:sz w:val="18"/>
                <w:szCs w:val="18"/>
                <w:lang w:val="fr-FR"/>
              </w:rPr>
            </w:pPr>
            <w:r w:rsidRPr="00C206C8">
              <w:rPr>
                <w:w w:val="90"/>
                <w:sz w:val="18"/>
                <w:szCs w:val="18"/>
                <w:lang w:val="fr-FR"/>
              </w:rPr>
              <w:t>(20</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1276" w:type="pct"/>
            <w:vAlign w:val="center"/>
          </w:tcPr>
          <w:p w14:paraId="449104B7" w14:textId="77777777" w:rsidR="003131E7" w:rsidRPr="006C61D4" w:rsidRDefault="003131E7" w:rsidP="0039796A">
            <w:pPr>
              <w:autoSpaceDE w:val="0"/>
              <w:autoSpaceDN w:val="0"/>
              <w:adjustRightInd w:val="0"/>
              <w:jc w:val="center"/>
              <w:rPr>
                <w:color w:val="000000"/>
                <w:sz w:val="18"/>
                <w:szCs w:val="18"/>
                <w:lang w:val="fr-FR"/>
              </w:rPr>
            </w:pPr>
          </w:p>
        </w:tc>
      </w:tr>
      <w:tr w:rsidR="003131E7" w:rsidRPr="003131E7" w14:paraId="24CCE57A" w14:textId="77777777" w:rsidTr="003131E7">
        <w:trPr>
          <w:gridAfter w:val="1"/>
          <w:wAfter w:w="7" w:type="pct"/>
          <w:cantSplit/>
          <w:trHeight w:val="1298"/>
        </w:trPr>
        <w:tc>
          <w:tcPr>
            <w:tcW w:w="1028" w:type="pct"/>
            <w:shd w:val="clear" w:color="auto" w:fill="DBE5F1"/>
            <w:vAlign w:val="center"/>
          </w:tcPr>
          <w:p w14:paraId="54F18D55"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lastRenderedPageBreak/>
              <w:t xml:space="preserve">Autorisation à donner au Conseil d’Administration de procéder à l’attribution gratuite d’actions existantes ou à émettre </w:t>
            </w:r>
          </w:p>
          <w:p w14:paraId="51C7CB26" w14:textId="77777777" w:rsidR="003131E7" w:rsidRPr="006C61D4" w:rsidRDefault="003131E7" w:rsidP="003131E7">
            <w:pPr>
              <w:keepNext/>
              <w:spacing w:before="120" w:after="120"/>
              <w:jc w:val="both"/>
              <w:rPr>
                <w:rFonts w:eastAsia="Arial Unicode MS"/>
                <w:sz w:val="18"/>
                <w:szCs w:val="18"/>
                <w:lang w:val="fr-FR"/>
              </w:rPr>
            </w:pPr>
            <w:r w:rsidRPr="00C206C8">
              <w:rPr>
                <w:w w:val="90"/>
                <w:sz w:val="18"/>
                <w:szCs w:val="18"/>
                <w:lang w:val="fr-FR"/>
              </w:rPr>
              <w:t>(21</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623" w:type="pct"/>
            <w:vAlign w:val="center"/>
          </w:tcPr>
          <w:p w14:paraId="78C93F67"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procéder à l’attribution gratuite d’actions existantes ou à émettre </w:t>
            </w:r>
          </w:p>
          <w:p w14:paraId="5B924103" w14:textId="77777777" w:rsidR="003131E7" w:rsidRPr="00974A4E" w:rsidRDefault="003131E7" w:rsidP="003131E7">
            <w:pPr>
              <w:autoSpaceDE w:val="0"/>
              <w:autoSpaceDN w:val="0"/>
              <w:adjustRightInd w:val="0"/>
              <w:spacing w:before="120" w:after="120"/>
              <w:jc w:val="both"/>
              <w:rPr>
                <w:color w:val="000000"/>
                <w:sz w:val="18"/>
                <w:szCs w:val="18"/>
              </w:rPr>
            </w:pPr>
            <w:r w:rsidRPr="00C206C8">
              <w:rPr>
                <w:w w:val="90"/>
                <w:sz w:val="18"/>
                <w:szCs w:val="18"/>
                <w:lang w:val="fr-FR"/>
              </w:rPr>
              <w:t>(21</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789" w:type="pct"/>
            <w:vAlign w:val="center"/>
          </w:tcPr>
          <w:p w14:paraId="14D4EDD4"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procéder à l’attribution gratuite d’actions existantes ou à émettre </w:t>
            </w:r>
          </w:p>
          <w:p w14:paraId="47B49A68" w14:textId="77777777" w:rsidR="003131E7" w:rsidRPr="006C61D4" w:rsidRDefault="003131E7" w:rsidP="003131E7">
            <w:pPr>
              <w:autoSpaceDE w:val="0"/>
              <w:autoSpaceDN w:val="0"/>
              <w:adjustRightInd w:val="0"/>
              <w:spacing w:before="120" w:after="120"/>
              <w:jc w:val="both"/>
              <w:rPr>
                <w:color w:val="000000"/>
                <w:sz w:val="18"/>
                <w:szCs w:val="18"/>
                <w:lang w:val="fr-FR"/>
              </w:rPr>
            </w:pPr>
            <w:r w:rsidRPr="00C206C8">
              <w:rPr>
                <w:w w:val="90"/>
                <w:sz w:val="18"/>
                <w:szCs w:val="18"/>
                <w:lang w:val="fr-FR"/>
              </w:rPr>
              <w:t>(21</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1277" w:type="pct"/>
            <w:vAlign w:val="center"/>
          </w:tcPr>
          <w:p w14:paraId="7694710D" w14:textId="77777777" w:rsidR="003131E7" w:rsidRPr="00C206C8" w:rsidRDefault="003131E7" w:rsidP="003131E7">
            <w:pPr>
              <w:widowControl w:val="0"/>
              <w:spacing w:before="120" w:after="120"/>
              <w:jc w:val="both"/>
              <w:rPr>
                <w:w w:val="90"/>
                <w:sz w:val="18"/>
                <w:szCs w:val="18"/>
                <w:lang w:val="fr-FR"/>
              </w:rPr>
            </w:pPr>
            <w:r w:rsidRPr="00C206C8">
              <w:rPr>
                <w:w w:val="90"/>
                <w:sz w:val="18"/>
                <w:szCs w:val="18"/>
                <w:lang w:val="fr-FR"/>
              </w:rPr>
              <w:t xml:space="preserve">Autorisation à donner au Conseil d’Administration de procéder à l’attribution gratuite d’actions existantes ou à émettre </w:t>
            </w:r>
          </w:p>
          <w:p w14:paraId="37C207CB" w14:textId="77777777" w:rsidR="003131E7" w:rsidRPr="006C61D4" w:rsidRDefault="003131E7" w:rsidP="003131E7">
            <w:pPr>
              <w:autoSpaceDE w:val="0"/>
              <w:autoSpaceDN w:val="0"/>
              <w:adjustRightInd w:val="0"/>
              <w:jc w:val="both"/>
              <w:rPr>
                <w:color w:val="000000"/>
                <w:sz w:val="18"/>
                <w:szCs w:val="18"/>
                <w:lang w:val="fr-FR"/>
              </w:rPr>
            </w:pPr>
            <w:r w:rsidRPr="00C206C8">
              <w:rPr>
                <w:w w:val="90"/>
                <w:sz w:val="18"/>
                <w:szCs w:val="18"/>
                <w:lang w:val="fr-FR"/>
              </w:rPr>
              <w:t>(21</w:t>
            </w:r>
            <w:r w:rsidRPr="00C206C8">
              <w:rPr>
                <w:w w:val="90"/>
                <w:sz w:val="18"/>
                <w:szCs w:val="18"/>
                <w:vertAlign w:val="superscript"/>
                <w:lang w:val="fr-FR"/>
              </w:rPr>
              <w:t>ème</w:t>
            </w:r>
            <w:r w:rsidRPr="00C206C8">
              <w:rPr>
                <w:w w:val="90"/>
                <w:sz w:val="18"/>
                <w:szCs w:val="18"/>
                <w:lang w:val="fr-FR"/>
              </w:rPr>
              <w:t xml:space="preserve"> résolution AGM 9 juin 2022)</w:t>
            </w:r>
          </w:p>
        </w:tc>
        <w:tc>
          <w:tcPr>
            <w:tcW w:w="1276" w:type="pct"/>
            <w:vAlign w:val="center"/>
          </w:tcPr>
          <w:p w14:paraId="29B1CB31" w14:textId="77777777" w:rsidR="003131E7" w:rsidRPr="003131E7" w:rsidRDefault="003131E7" w:rsidP="003131E7">
            <w:pPr>
              <w:autoSpaceDE w:val="0"/>
              <w:autoSpaceDN w:val="0"/>
              <w:adjustRightInd w:val="0"/>
              <w:jc w:val="both"/>
              <w:rPr>
                <w:color w:val="000000"/>
                <w:sz w:val="18"/>
                <w:szCs w:val="18"/>
                <w:lang w:val="fr-FR"/>
              </w:rPr>
            </w:pPr>
            <w:r w:rsidRPr="003131E7">
              <w:rPr>
                <w:w w:val="90"/>
                <w:sz w:val="18"/>
                <w:szCs w:val="18"/>
                <w:lang w:val="fr-FR"/>
              </w:rPr>
              <w:t xml:space="preserve">Attribution de (i) 200.000 AGA 2024-1 de Performance et de (ii) 315.000 AGA 2024-2 </w:t>
            </w:r>
            <w:r w:rsidRPr="003131E7">
              <w:rPr>
                <w:rFonts w:eastAsia="Cambria"/>
                <w:color w:val="000000"/>
                <w:w w:val="90"/>
                <w:sz w:val="18"/>
                <w:szCs w:val="18"/>
                <w:lang w:val="fr-FR" w:eastAsia="en-US"/>
              </w:rPr>
              <w:t>décidée par le Conseil d’administration du 18 septembre 2024</w:t>
            </w:r>
          </w:p>
        </w:tc>
      </w:tr>
    </w:tbl>
    <w:p w14:paraId="4B2C7D95" w14:textId="77777777" w:rsidR="000E4B16" w:rsidRPr="003131E7" w:rsidRDefault="000E4B16">
      <w:pPr>
        <w:rPr>
          <w:lang w:val="fr-FR"/>
        </w:rPr>
      </w:pPr>
    </w:p>
    <w:sectPr w:rsidR="000E4B16" w:rsidRPr="003131E7" w:rsidSect="003131E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E7"/>
    <w:rsid w:val="000E4B16"/>
    <w:rsid w:val="002128CF"/>
    <w:rsid w:val="003131E7"/>
    <w:rsid w:val="00AA5A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B9DC"/>
  <w15:chartTrackingRefBased/>
  <w15:docId w15:val="{02D7F61C-76CD-4C0C-945D-1F549FE5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E7"/>
    <w:pPr>
      <w:spacing w:after="0" w:line="240" w:lineRule="auto"/>
    </w:pPr>
    <w:rPr>
      <w:rFonts w:ascii="Times New Roman" w:eastAsia="Times New Roman" w:hAnsi="Times New Roman" w:cs="Times New Roman"/>
      <w:kern w:val="0"/>
      <w:szCs w:val="24"/>
      <w:lang w:val="en-GB" w:eastAsia="fr-FR"/>
      <w14:ligatures w14:val="none"/>
    </w:rPr>
  </w:style>
  <w:style w:type="paragraph" w:styleId="Titre1">
    <w:name w:val="heading 1"/>
    <w:basedOn w:val="Normal"/>
    <w:next w:val="Normal"/>
    <w:link w:val="Titre1Car"/>
    <w:uiPriority w:val="9"/>
    <w:qFormat/>
    <w:rsid w:val="00313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3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31E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31E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31E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31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31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31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31E7"/>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31E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31E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31E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31E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31E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31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31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31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31E7"/>
    <w:rPr>
      <w:rFonts w:eastAsiaTheme="majorEastAsia" w:cstheme="majorBidi"/>
      <w:color w:val="272727" w:themeColor="text1" w:themeTint="D8"/>
    </w:rPr>
  </w:style>
  <w:style w:type="paragraph" w:styleId="Titre">
    <w:name w:val="Title"/>
    <w:basedOn w:val="Normal"/>
    <w:next w:val="Normal"/>
    <w:link w:val="TitreCar"/>
    <w:uiPriority w:val="10"/>
    <w:qFormat/>
    <w:rsid w:val="003131E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31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31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31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31E7"/>
    <w:pPr>
      <w:spacing w:before="160"/>
      <w:jc w:val="center"/>
    </w:pPr>
    <w:rPr>
      <w:i/>
      <w:iCs/>
      <w:color w:val="404040" w:themeColor="text1" w:themeTint="BF"/>
    </w:rPr>
  </w:style>
  <w:style w:type="character" w:customStyle="1" w:styleId="CitationCar">
    <w:name w:val="Citation Car"/>
    <w:basedOn w:val="Policepardfaut"/>
    <w:link w:val="Citation"/>
    <w:uiPriority w:val="29"/>
    <w:rsid w:val="003131E7"/>
    <w:rPr>
      <w:i/>
      <w:iCs/>
      <w:color w:val="404040" w:themeColor="text1" w:themeTint="BF"/>
    </w:rPr>
  </w:style>
  <w:style w:type="paragraph" w:styleId="Paragraphedeliste">
    <w:name w:val="List Paragraph"/>
    <w:basedOn w:val="Normal"/>
    <w:uiPriority w:val="34"/>
    <w:qFormat/>
    <w:rsid w:val="003131E7"/>
    <w:pPr>
      <w:ind w:left="720"/>
      <w:contextualSpacing/>
    </w:pPr>
  </w:style>
  <w:style w:type="character" w:styleId="Accentuationintense">
    <w:name w:val="Intense Emphasis"/>
    <w:basedOn w:val="Policepardfaut"/>
    <w:uiPriority w:val="21"/>
    <w:qFormat/>
    <w:rsid w:val="003131E7"/>
    <w:rPr>
      <w:i/>
      <w:iCs/>
      <w:color w:val="0F4761" w:themeColor="accent1" w:themeShade="BF"/>
    </w:rPr>
  </w:style>
  <w:style w:type="paragraph" w:styleId="Citationintense">
    <w:name w:val="Intense Quote"/>
    <w:basedOn w:val="Normal"/>
    <w:next w:val="Normal"/>
    <w:link w:val="CitationintenseCar"/>
    <w:uiPriority w:val="30"/>
    <w:qFormat/>
    <w:rsid w:val="00313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31E7"/>
    <w:rPr>
      <w:i/>
      <w:iCs/>
      <w:color w:val="0F4761" w:themeColor="accent1" w:themeShade="BF"/>
    </w:rPr>
  </w:style>
  <w:style w:type="character" w:styleId="Rfrenceintense">
    <w:name w:val="Intense Reference"/>
    <w:basedOn w:val="Policepardfaut"/>
    <w:uiPriority w:val="32"/>
    <w:qFormat/>
    <w:rsid w:val="00313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6561">
      <w:bodyDiv w:val="1"/>
      <w:marLeft w:val="0"/>
      <w:marRight w:val="0"/>
      <w:marTop w:val="0"/>
      <w:marBottom w:val="0"/>
      <w:divBdr>
        <w:top w:val="none" w:sz="0" w:space="0" w:color="auto"/>
        <w:left w:val="none" w:sz="0" w:space="0" w:color="auto"/>
        <w:bottom w:val="none" w:sz="0" w:space="0" w:color="auto"/>
        <w:right w:val="none" w:sz="0" w:space="0" w:color="auto"/>
      </w:divBdr>
    </w:div>
    <w:div w:id="251210159">
      <w:bodyDiv w:val="1"/>
      <w:marLeft w:val="0"/>
      <w:marRight w:val="0"/>
      <w:marTop w:val="0"/>
      <w:marBottom w:val="0"/>
      <w:divBdr>
        <w:top w:val="none" w:sz="0" w:space="0" w:color="auto"/>
        <w:left w:val="none" w:sz="0" w:space="0" w:color="auto"/>
        <w:bottom w:val="none" w:sz="0" w:space="0" w:color="auto"/>
        <w:right w:val="none" w:sz="0" w:space="0" w:color="auto"/>
      </w:divBdr>
    </w:div>
    <w:div w:id="335882862">
      <w:bodyDiv w:val="1"/>
      <w:marLeft w:val="0"/>
      <w:marRight w:val="0"/>
      <w:marTop w:val="0"/>
      <w:marBottom w:val="0"/>
      <w:divBdr>
        <w:top w:val="none" w:sz="0" w:space="0" w:color="auto"/>
        <w:left w:val="none" w:sz="0" w:space="0" w:color="auto"/>
        <w:bottom w:val="none" w:sz="0" w:space="0" w:color="auto"/>
        <w:right w:val="none" w:sz="0" w:space="0" w:color="auto"/>
      </w:divBdr>
    </w:div>
    <w:div w:id="425610830">
      <w:bodyDiv w:val="1"/>
      <w:marLeft w:val="0"/>
      <w:marRight w:val="0"/>
      <w:marTop w:val="0"/>
      <w:marBottom w:val="0"/>
      <w:divBdr>
        <w:top w:val="none" w:sz="0" w:space="0" w:color="auto"/>
        <w:left w:val="none" w:sz="0" w:space="0" w:color="auto"/>
        <w:bottom w:val="none" w:sz="0" w:space="0" w:color="auto"/>
        <w:right w:val="none" w:sz="0" w:space="0" w:color="auto"/>
      </w:divBdr>
    </w:div>
    <w:div w:id="520317884">
      <w:bodyDiv w:val="1"/>
      <w:marLeft w:val="0"/>
      <w:marRight w:val="0"/>
      <w:marTop w:val="0"/>
      <w:marBottom w:val="0"/>
      <w:divBdr>
        <w:top w:val="none" w:sz="0" w:space="0" w:color="auto"/>
        <w:left w:val="none" w:sz="0" w:space="0" w:color="auto"/>
        <w:bottom w:val="none" w:sz="0" w:space="0" w:color="auto"/>
        <w:right w:val="none" w:sz="0" w:space="0" w:color="auto"/>
      </w:divBdr>
    </w:div>
    <w:div w:id="628821532">
      <w:bodyDiv w:val="1"/>
      <w:marLeft w:val="0"/>
      <w:marRight w:val="0"/>
      <w:marTop w:val="0"/>
      <w:marBottom w:val="0"/>
      <w:divBdr>
        <w:top w:val="none" w:sz="0" w:space="0" w:color="auto"/>
        <w:left w:val="none" w:sz="0" w:space="0" w:color="auto"/>
        <w:bottom w:val="none" w:sz="0" w:space="0" w:color="auto"/>
        <w:right w:val="none" w:sz="0" w:space="0" w:color="auto"/>
      </w:divBdr>
    </w:div>
    <w:div w:id="947930607">
      <w:bodyDiv w:val="1"/>
      <w:marLeft w:val="0"/>
      <w:marRight w:val="0"/>
      <w:marTop w:val="0"/>
      <w:marBottom w:val="0"/>
      <w:divBdr>
        <w:top w:val="none" w:sz="0" w:space="0" w:color="auto"/>
        <w:left w:val="none" w:sz="0" w:space="0" w:color="auto"/>
        <w:bottom w:val="none" w:sz="0" w:space="0" w:color="auto"/>
        <w:right w:val="none" w:sz="0" w:space="0" w:color="auto"/>
      </w:divBdr>
    </w:div>
    <w:div w:id="977413400">
      <w:bodyDiv w:val="1"/>
      <w:marLeft w:val="0"/>
      <w:marRight w:val="0"/>
      <w:marTop w:val="0"/>
      <w:marBottom w:val="0"/>
      <w:divBdr>
        <w:top w:val="none" w:sz="0" w:space="0" w:color="auto"/>
        <w:left w:val="none" w:sz="0" w:space="0" w:color="auto"/>
        <w:bottom w:val="none" w:sz="0" w:space="0" w:color="auto"/>
        <w:right w:val="none" w:sz="0" w:space="0" w:color="auto"/>
      </w:divBdr>
    </w:div>
    <w:div w:id="18122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2506</Words>
  <Characters>13784</Characters>
  <Application>Microsoft Office Word</Application>
  <DocSecurity>0</DocSecurity>
  <Lines>114</Lines>
  <Paragraphs>32</Paragraphs>
  <ScaleCrop>false</ScaleCrop>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KERVELLA</dc:creator>
  <cp:keywords/>
  <dc:description/>
  <cp:lastModifiedBy>Isabelle KERVELLA</cp:lastModifiedBy>
  <cp:revision>1</cp:revision>
  <dcterms:created xsi:type="dcterms:W3CDTF">2025-04-24T11:57:00Z</dcterms:created>
  <dcterms:modified xsi:type="dcterms:W3CDTF">2025-04-24T12:05:00Z</dcterms:modified>
</cp:coreProperties>
</file>